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安稳泉家2023年16号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安稳泉家2023年16号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C1088123000054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2023-07-26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205,428,000.00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23016B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4.05/年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23016C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23016A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3.95/年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103.33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23016B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23016C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23016A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217,329,883.04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23016A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11,517,170.55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23016B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133,276,437.65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23016C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72,536,274.84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1.057937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23016A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1.05681506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23016B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1.05825343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23016C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1.05753425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1.057937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23016A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1.05681506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23016B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1.05825343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23016C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1.05753425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23016A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23016B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23016C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0.96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121,007,420.26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53.89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128,919,430.37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57.41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101,635,574.38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45.26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128,227,529.05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57.10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19,371,845.88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8.63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691,901.31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0.31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1,713,580.54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377,723.95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0.17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641,749.45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0.29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103,173,363.28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45.94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532,013.99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0.24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224,558,507.51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131,806,774.35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58.70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注1：间接投资占产品总资产的比例（%）为占本产品总资产的比例（%）。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52,999,285.89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24.39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50,174,077.39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23.09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24交通银行CD252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19,811,992.71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9.12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23临平Y2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19,679,877.00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9.06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24山东高速ABN001优先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19,371,845.88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8.91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23海高城开PPN001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13,447,806.90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6.19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23国控02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11,441,481.08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5.26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23汉口银行二级资本债01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11,074,403.70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5.10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24南浦口PPN002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10,374,212.60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4.77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22滨江Y1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10,220,962.47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4.70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205,428,000.00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23016A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10,898,000.00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23016B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125,940,000.00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23016C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68,590,000.00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205,428,000.00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23016A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10,898,000.00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23016B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125,940,000.00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23016C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68,590,000.00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中国工商银行山东省分行资产托管专户-齐鲁银行安稳泉家2023年16号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1602023929200286221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工商银行济南趵突泉支行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