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安稳泉家2023年17号 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2024年第4季度</w:t>
      </w:r>
      <w:r>
        <w:rPr>
          <w:rFonts w:ascii="宋体" w:hAnsi="宋体" w:hint="eastAsia"/>
          <w:b/>
          <w:bCs/>
          <w:sz w:val="48"/>
          <w:szCs w:val="30"/>
        </w:rPr>
        <w:t xml:space="preserve"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Chars="600" w:firstLine="1687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 xml:space="preserve">产品管理人：齐鲁银行股份有限公司</w:t>
      </w:r>
    </w:p>
    <w:p>
      <w:pPr>
        <w:ind w:firstLineChars="600" w:firstLine="1687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 xml:space="preserve">产品托管人：中国工商银行股份有限公司</w:t>
      </w:r>
    </w:p>
    <w:p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1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ascii="宋体" w:hAnsi="宋体" w:hint="eastAsia"/>
          <w:bCs/>
          <w:sz w:val="33"/>
          <w:szCs w:val="33"/>
        </w:rPr>
        <w:t xml:space="preserve">重要提示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产品管理人的董事会及董事保证本报告所载资料不存在虚假记载、误导性陈述或重大遗漏，并对其内容的真实性、准确性和完整性承担个别及连带责任。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产品管理人承诺以诚实信用、勤勉尽责的原则管理和运用产品资产，但不保证产品一定盈利。　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产品的过往业绩并不代表其未来表现。投资有风险，投资者在作出投资决策前应仔细阅读本产品的产品说明书。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本报告中财务资料未经审计。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本</w:t>
      </w:r>
      <w:r>
        <w:rPr>
          <w:rFonts w:ascii="宋体" w:hAnsi="宋体" w:cs="宋体"/>
          <w:color w:val="000000"/>
          <w:sz w:val="24"/>
          <w:szCs w:val="24"/>
        </w:rPr>
        <w:t xml:space="preserve">报告期</w:t>
      </w:r>
      <w:r>
        <w:rPr>
          <w:rFonts w:ascii="宋体" w:hAnsi="宋体" w:cs="宋体" w:hint="eastAsia"/>
          <w:color w:val="000000"/>
          <w:sz w:val="24"/>
          <w:szCs w:val="24"/>
        </w:rPr>
        <w:t xml:space="preserve">自 2024-10-01</w:t>
      </w:r>
      <w:r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</w:rPr>
        <w:t xml:space="preserve">起至 2024-12-31</w:t>
      </w:r>
      <w:r>
        <w:rPr>
          <w:rFonts w:ascii="宋体" w:hAnsi="宋体" w:cs="宋体"/>
          <w:color w:val="000000"/>
          <w:sz w:val="24"/>
          <w:szCs w:val="24"/>
        </w:rPr>
        <w:t xml:space="preserve"> 止。</w:t>
      </w: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2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ascii="宋体" w:hAnsi="宋体" w:hint="eastAsia"/>
          <w:bCs/>
          <w:sz w:val="33"/>
          <w:szCs w:val="33"/>
        </w:rPr>
        <w:t xml:space="preserve">产品概况 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2.1 产品基本情况</w:t>
            </w:r>
          </w:p>
        </w:tc>
      </w:tr>
    </w:tbl>
    <w:p>
      <w:pPr>
        <w:rPr>
          <w:vanish/>
          <w:sz w:val="24"/>
          <w:szCs w:val="24"/>
        </w:rPr>
      </w:pPr>
    </w:p>
    <w:tbl>
      <w:tblPr>
        <w:tblStyle w:val="17"/>
        <w:tblW w:w="89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97"/>
        <w:gridCol w:w="448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4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产品中文商业全称</w:t>
            </w:r>
          </w:p>
        </w:tc>
        <w:tc>
          <w:tcPr>
            <w:tcW w:w="4483" w:type="dxa"/>
            <w:tcBorders>
              <w:top w:val="single" w:sz="8" w:space="0" w:color="00000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安稳泉家2023年17号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产品登记编码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C1088123000055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产品成立/起始日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2023-08-09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报告期末产品份额总额（份）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166,012,000.00 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业绩比较基准（%）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/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23017B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4.05/年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23017C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4/年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23017A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3.95/年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杠杆水平（%）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103.70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/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销售手续费率（%）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/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23017B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0.2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23017C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23017A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托管费率（%）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0.005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固定管理费率（%）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/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其他费率（%）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业绩报酬（元）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0.00</w:t>
            </w:r>
          </w:p>
        </w:tc>
      </w:tr>
    </w:tbl>
    <w:p>
      <w:pPr>
        <w:ind w:firstLine="400"/>
        <w:jc w:val="center"/>
        <w:rPr>
          <w:rFonts w:eastAsia="Times New Roman"/>
        </w:rPr>
      </w:pPr>
      <w:r>
        <w:rPr>
          <w:rFonts w:eastAsia="Times New Roman"/>
        </w:rPr>
        <w:t xml:space="preserve"> </w:t>
      </w: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3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ascii="宋体" w:hAnsi="宋体" w:hint="eastAsia"/>
          <w:bCs/>
          <w:sz w:val="33"/>
          <w:szCs w:val="33"/>
        </w:rPr>
        <w:t xml:space="preserve">主要财务指标和产品净值表现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3.1 主要财务指标</w:t>
            </w:r>
          </w:p>
        </w:tc>
      </w:tr>
    </w:tbl>
    <w:p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rPr>
          <w:trHeight w:val="150" w:hRule="atLeast"/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51"/>
              <w:jc w:val="right"/>
              <w:rPr>
                <w:rFonts w:ascii="宋体" w:hAnsi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单位：元、元/份</w:t>
            </w:r>
          </w:p>
        </w:tc>
      </w:tr>
    </w:tbl>
    <w:p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15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1"/>
        <w:gridCol w:w="457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4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18" w:type="dxa"/>
              <w:bottom w:w="10" w:type="dxa"/>
              <w:right w:w="118" w:type="dxa"/>
            </w:tcMar>
            <w:vAlign w:val="center"/>
          </w:tcPr>
          <w:p>
            <w:pPr>
              <w:pStyle w:val="52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主要财务指标</w:t>
            </w:r>
          </w:p>
        </w:tc>
        <w:tc>
          <w:tcPr>
            <w:tcW w:w="4571" w:type="dxa"/>
            <w:tcBorders>
              <w:top w:val="single" w:sz="8" w:space="0" w:color="00000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pStyle w:val="51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2024-10-01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2"/>
              </w:rPr>
              <w:t xml:space="preserve">至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2"/>
              </w:rPr>
              <w:t xml:space="preserve"> 2024-12-31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1.期末产品资产净值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175,371,398.07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其中： 23017A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3,748,425.60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23017B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98,442,172.20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23017C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73,180,800.27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2.期末产品份额净值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1.05637784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其中： 23017A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1.0553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23017B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1.0567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23017C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1.056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3.期末产品份额累计净值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1.05637784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其中： 23017A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1.0553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23017B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1.0567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23017C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1.056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4.本报告期累计净值增长率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0.97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其中： 23017A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0.95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23017B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0.98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23017C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0.96</w:t>
            </w:r>
          </w:p>
        </w:tc>
      </w:tr>
    </w:tbl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截位法</w:t>
      </w:r>
      <w:r>
        <w:rPr>
          <w:rFonts w:ascii="宋体" w:hAnsi="宋体" w:cs="宋体"/>
          <w:color w:val="000000"/>
          <w:sz w:val="24"/>
          <w:szCs w:val="24"/>
        </w:rPr>
        <w:t xml:space="preserve"/>
      </w:r>
      <w:r>
        <w:rPr>
          <w:rFonts w:ascii="宋体" w:hAnsi="宋体" w:cs="宋体" w:hint="eastAsia"/>
          <w:color w:val="000000"/>
          <w:sz w:val="24"/>
          <w:szCs w:val="24"/>
        </w:rPr>
        <w:t xml:space="preserve">8</w:t>
      </w:r>
      <w:r>
        <w:rPr>
          <w:rFonts w:ascii="宋体" w:hAnsi="宋体" w:cs="宋体"/>
          <w:color w:val="000000"/>
          <w:sz w:val="24"/>
          <w:szCs w:val="24"/>
        </w:rPr>
        <w:t xml:space="preserve"/>
      </w:r>
      <w:r>
        <w:rPr>
          <w:rFonts w:ascii="宋体" w:hAnsi="宋体" w:cs="宋体" w:hint="eastAsia"/>
          <w:color w:val="000000"/>
          <w:sz w:val="24"/>
          <w:szCs w:val="24"/>
        </w:rPr>
        <w:t xml:space="preserve">位，其他财务指标保留至小数点后第2位。</w:t>
      </w:r>
    </w:p>
    <w:p>
      <w:pPr>
        <w:ind w:firstLine="400"/>
        <w:jc w:val="center"/>
        <w:rPr>
          <w:rFonts w:eastAsiaTheme="minorEastAsia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4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ascii="宋体" w:hAnsi="宋体" w:hint="eastAsia"/>
          <w:bCs/>
          <w:sz w:val="33"/>
          <w:szCs w:val="33"/>
        </w:rPr>
        <w:t xml:space="preserve">投资组合报告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spacing w:lineRule="auto" w:line="360" w:before="0" w:after="0"/>
      </w:pPr>
      <w:r>
        <w:rPr>
          <w:rFonts w:ascii="宋体" w:hAnsi="宋体" w:eastAsia="宋体"/>
        </w:rPr>
        <w:t>4.1 管理人对报告期内投资组合的投资策略说明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</w:r>
    </w:p>
    <w:p>
      <w:pPr>
        <w:spacing w:lineRule="auto" w:line="360" w:before="0" w:after="0"/>
      </w:pPr>
      <w:r>
        <w:rPr>
          <w:rFonts w:ascii="宋体" w:hAnsi="宋体" w:eastAsia="宋体"/>
        </w:rPr>
        <w:t>4.1.1 投资组合的投资策略和运作分析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  <w:t>2024年四季度，债券市场整体呈现下行态势。924新政后，债券市场在稳增长政策和赎回负反馈下，大幅上行，此后随着股票市场深度回调，债券市场再次回归基本面定价。虽然政府债券供给增加扰动市场，但在宽松的货币环境下，债券收益率短暂震荡后快速下行，利率中枢进一步下移。往后看，2025年低利率常态延续，债券收益率中枢预计持续下移。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  <w:t>报告期内，组合底仓以中高等级信用债为主，严控信用风险，通过杠杆策略增厚组合收益，在平衡风险和收益的基础上，整体加大期限匹配资产的配置，动态调整资产组合久期，进一步提升产品静态收益率，并降低市场波动对产品净值的影响，力求为客户提供稳定的投资收益。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</w:r>
    </w:p>
    <w:p>
      <w:pPr>
        <w:spacing w:lineRule="auto" w:line="360" w:before="0" w:after="0"/>
      </w:pPr>
      <w:r>
        <w:rPr>
          <w:rFonts w:ascii="宋体" w:hAnsi="宋体" w:eastAsia="宋体"/>
        </w:rPr>
        <w:t>4.1.2 投资组合的流动性风险分析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  <w:t>本产品投资方向为固收类资产，本行审慎对国内外宏观经济形势、市场利率走势及债券市场资金供求情况综合分析，预测债券市场利率走势，结合流动性预判及各类流动性管理措施，并对各投资品种收益率、波动性、各类风险进行在控制风险的前提下，积极构建及调整投资组合，力争合理的流动性安排。</w:t>
      </w:r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4.2 报告期末资产情况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金额单位：元</w:t>
      </w:r>
    </w:p>
    <w:tbl>
      <w:tblPr>
        <w:tblStyle w:val="17"/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直接</w:t>
            </w:r>
            <w:r>
              <w:rPr>
                <w:rFonts w:ascii="宋体" w:hAnsi="宋体"/>
                <w:b/>
                <w:sz w:val="24"/>
                <w:szCs w:val="24"/>
              </w:rPr>
              <w:t xml:space="preserve"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间接</w:t>
            </w:r>
            <w:r>
              <w:rPr>
                <w:rFonts w:ascii="宋体" w:hAnsi="宋体"/>
                <w:b/>
                <w:sz w:val="24"/>
                <w:szCs w:val="24"/>
              </w:rPr>
              <w:t xml:space="preserve">投资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447" w:type="dxa"/>
            <w:vMerge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占产品总资产的比例（%）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nil" w:space="0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130,609,386.14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71.82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78,249,295.83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43.03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nil" w:space="0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nil" w:space="0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130,609,386.14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71.82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78,249,295.83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43.03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single" w:sz="4" w:space="0" w:color="auto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4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5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6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7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1,074,169.86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0.59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14,211.43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0.01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8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9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资管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50,174,077.39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27.59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10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0.02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531,961.89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0.29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181,857,633.41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100.00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78,795,469.15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43.33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</w:tbl>
    <w:p>
      <w:pPr>
        <w:ind w:leftChars="200" w:left="420"/>
        <w:jc w:val="left"/>
        <w:rPr>
          <w:rFonts w:ascii="宋体" w:hAnsi="宋体"/>
          <w:sz w:val="24"/>
        </w:rPr>
      </w:pP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注1：间接投资占产品总资产的比例（%）为占本产品总资产的比例（%）。</w:t>
      </w:r>
      <w:r>
        <w:rPr>
          <w:rFonts w:ascii="宋体" w:hAnsi="宋体" w:cs="宋体"/>
          <w:color w:val="000000"/>
          <w:sz w:val="24"/>
          <w:szCs w:val="24"/>
        </w:rPr>
        <w:t xml:space="preserve"/>
      </w:r>
    </w:p>
    <w:p>
      <w:pPr>
        <w:ind w:leftChars="200" w:left="420"/>
        <w:jc w:val="left"/>
        <w:rPr>
          <w:rFonts w:asciiTheme="minorEastAsia" w:eastAsiaTheme="minorEastAsia" w:hAnsiTheme="minorEastAsia"/>
          <w:szCs w:val="21"/>
        </w:rPr>
      </w:pPr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4.3 报告期末投资前十名资产明细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金额单位：元</w:t>
      </w:r>
    </w:p>
    <w:tbl>
      <w:tblPr>
        <w:tblStyle w:val="17"/>
        <w:tblW w:w="9060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占产品资产净值比例（%）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中信建投期货-固益联12号集合资产管理计划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50,174,077.39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28.61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23威高01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15,933,531.17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9.09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20泰安城乡PPN001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15,655,737.95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8.93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4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24济南产业PPN001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15,515,486.30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8.85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5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21九江银行永续债02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14,904,978.03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8.50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6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24交通银行CD252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14,858,994.53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8.47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7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23岳阳城建PPN002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14,538,521.70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8.29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8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21晋商银行二级01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10,736,353.77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6.12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9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24南京旅游MTN001(资产担保)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10,390,093.01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5.92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10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23未央债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10,356,991.78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bookmarkStart w:id="0" w:name="OLE_LINK5"/>
            <w:bookmarkStart w:id="1" w:name="OLE_LINK6"/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5.91</w:t>
            </w:r>
            <w:bookmarkEnd w:id="0"/>
            <w:bookmarkEnd w:id="1"/>
          </w:p>
        </w:tc>
      </w:tr>
    </w:tbl>
    <w:p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注：前十项资产明细仅包含证券投资、场外投资，不包含银行存款、存出保证金、清算备付金等资产。</w:t>
      </w:r>
    </w:p>
    <w:p>
      <w:pPr>
        <w:jc w:val="left"/>
        <w:rPr>
          <w:rFonts w:asciiTheme="minorEastAsia" w:eastAsiaTheme="minorEastAsia" w:hAnsiTheme="minorEastAsia"/>
          <w:sz w:val="24"/>
          <w:szCs w:val="24"/>
        </w:rPr>
      </w:pPr>
    </w:p>
    <w:p>
      <w:pPr>
        <w:ind w:leftChars="2" w:left="4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4.4 报告期末投资非标准化债权资产情况</w:t>
      </w:r>
    </w:p>
    <w:tbl>
      <w:tblPr>
        <w:tblStyle w:val="17"/>
        <w:tblW w:w="9030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992"/>
        <w:gridCol w:w="993"/>
        <w:gridCol w:w="1291"/>
        <w:gridCol w:w="1350"/>
        <w:gridCol w:w="2133"/>
        <w:gridCol w:w="1567"/>
      </w:tblGrid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6" w:hRule="atLeast"/>
        </w:trPr>
        <w:tc>
          <w:tcPr>
            <w:tcW w:w="704" w:type="dxa"/>
            <w:shd w:val="clear" w:color="auto" w:fill="D9D9D9"/>
            <w:vAlign w:val="center"/>
          </w:tcPr>
          <w:p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序号</w:t>
            </w:r>
          </w:p>
        </w:tc>
        <w:tc>
          <w:tcPr>
            <w:tcW w:w="992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项目名称</w:t>
            </w:r>
          </w:p>
        </w:tc>
        <w:tc>
          <w:tcPr>
            <w:tcW w:w="9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融资客户</w:t>
            </w:r>
          </w:p>
        </w:tc>
        <w:tc>
          <w:tcPr>
            <w:tcW w:w="129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50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到期收益分配</w:t>
            </w:r>
          </w:p>
        </w:tc>
        <w:tc>
          <w:tcPr>
            <w:tcW w:w="213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交易结构</w:t>
            </w:r>
          </w:p>
        </w:tc>
        <w:tc>
          <w:tcPr>
            <w:tcW w:w="1567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风险状况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0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 xml:space="preserve"/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/>
            </w:r>
            <w:r>
              <w:rPr>
                <w:rFonts w:ascii="宋体" w:hAnsi="宋体"/>
                <w:sz w:val="24"/>
                <w:szCs w:val="24"/>
              </w:rPr>
              <w:t xml:space="preserve"/>
            </w:r>
          </w:p>
        </w:tc>
        <w:tc>
          <w:tcPr>
            <w:tcW w:w="129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350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2133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/>
            </w:r>
            <w:r>
              <w:rPr>
                <w:rFonts w:ascii="宋体" w:hAnsi="宋体"/>
                <w:sz w:val="24"/>
                <w:szCs w:val="24"/>
              </w:rPr>
              <w:t xml:space="preserve"/>
            </w:r>
            <w:bookmarkStart w:id="2" w:name="_GoBack"/>
            <w:bookmarkEnd w:id="2"/>
          </w:p>
        </w:tc>
        <w:tc>
          <w:tcPr>
            <w:tcW w:w="1567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正常</w:t>
            </w:r>
          </w:p>
        </w:tc>
      </w:tr>
    </w:tbl>
    <w:p>
      <w:pPr>
        <w:ind w:leftChars="2" w:left="4"/>
        <w:jc w:val="left"/>
        <w:rPr>
          <w:rFonts w:asciiTheme="minorEastAsia" w:eastAsiaTheme="minorEastAsia" w:hAnsiTheme="minorEastAsia"/>
          <w:szCs w:val="21"/>
        </w:rPr>
      </w:pPr>
    </w:p>
    <w:p>
      <w:pPr>
        <w:ind w:leftChars="2" w:left="4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4.5 产品份额变动</w:t>
      </w:r>
    </w:p>
    <w:p>
      <w:pPr>
        <w:ind w:leftChars="2" w:left="4"/>
        <w:jc w:val="right"/>
        <w:rPr>
          <w:rFonts w:asciiTheme="minorEastAsia" w:eastAsiaTheme="minorEastAsia" w:hAnsiTheme="minorEastAsia"/>
          <w:szCs w:val="21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单位：份</w:t>
      </w:r>
    </w:p>
    <w:tbl>
      <w:tblPr>
        <w:tblStyle w:val="17"/>
        <w:tblW w:w="8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2"/>
        <w:gridCol w:w="6008"/>
      </w:tblGrid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报告期期初产品份额总额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166,012,000.00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23017A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3,552,000.00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23017B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93,160,000.00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23017C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69,300,000.00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报告期期间产品总申购份额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0.00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报告期期间产品总赎回份额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报告期期末产品份额总额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166,012,000.00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23017A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3,552,000.00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23017B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93,160,000.00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23017C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69,300,000.00</w:t>
            </w:r>
          </w:p>
        </w:tc>
      </w:tr>
    </w:tbl>
    <w:p>
      <w:pPr>
        <w:spacing w:line="360" w:lineRule="auto"/>
        <w:rPr>
          <w:rFonts w:ascii="宋体" w:hAnsi="宋体" w:cs="宋体" w:hint="eastAsia"/>
          <w:color w:val="000000"/>
          <w:sz w:val="24"/>
          <w:szCs w:val="24"/>
          <w:lang w:val="en-US" w:eastAsia="zh-CN"/>
        </w:rPr>
      </w:pPr>
      <w:r>
        <w:rPr>
          <w:rFonts w:ascii="宋体" w:hAnsi="宋体" w:cs="宋体" w:hint="eastAsia"/>
          <w:color w:val="000000"/>
          <w:sz w:val="24"/>
          <w:szCs w:val="24"/>
          <w:lang w:val="en-US" w:eastAsia="zh-CN"/>
        </w:rPr>
        <w:t xml:space="preserve">4.6 投资账户信息</w:t>
      </w:r>
    </w:p>
    <w:tbl>
      <w:tblPr>
        <w:tblStyle w:val="17"/>
        <w:tblW w:w="8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0"/>
        <w:gridCol w:w="1838"/>
        <w:gridCol w:w="1734"/>
        <w:gridCol w:w="3818"/>
      </w:tblGrid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eastAsia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账户类型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账户名称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jc w:val="both"/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账号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jc w:val="both"/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开户行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托管账户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extAlignment w:val="center"/>
            </w:pPr>
            <w:r>
              <w:rPr>
                <w:rStyle w:val="53"/>
                <w:lang w:val="en-US" w:eastAsia="zh-CN" w:bidi="ar"/>
              </w:rPr>
              <w:t xml:space="preserve">中国工商银行山东省分行资产托管专户-齐鲁银行安稳泉家2023年17号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extAlignment w:val="center"/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1602023929200286345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extAlignment w:val="center"/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工商银行济南趵突泉支行</w:t>
            </w:r>
          </w:p>
        </w:tc>
      </w:tr>
    </w:tbl>
    <w:p>
      <w:pPr>
        <w:spacing w:line="360" w:lineRule="auto"/>
        <w:rPr>
          <w:rFonts w:ascii="宋体" w:hAnsi="宋体" w:cs="宋体"/>
          <w:color w:val="000000"/>
          <w:sz w:val="24"/>
          <w:szCs w:val="24"/>
          <w:lang w:val="en-US" w:eastAsia="zh-CN"/>
        </w:rPr>
      </w:pPr>
    </w:p>
    <w:p>
      <w:pPr>
        <w:spacing w:line="360" w:lineRule="auto"/>
        <w:rPr>
          <w:rFonts w:ascii="宋体" w:hAnsi="宋体" w:cs="宋体"/>
          <w:color w:val="000000"/>
          <w:sz w:val="24"/>
          <w:szCs w:val="24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5  托管人报告</w:t>
      </w:r>
    </w:p>
    <w:p>
      <w:pPr>
        <w:spacing w:line="360" w:lineRule="auto"/>
        <w:ind w:firstLineChars="200" w:firstLine="48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 托管人声明：本报告期内，资产托管人严格遵守有关法律法规、托管协议关于托管人职责的约定，尽职尽责地履行了托管职责并安全保管托管资产。</w:t>
      </w:r>
    </w:p>
    <w:p>
      <w:pPr>
        <w:spacing w:line="360" w:lineRule="auto"/>
        <w:ind w:firstLineChars="200" w:firstLine="48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 在管理人提供的各项数据和信息真实、准确、有效的前提下，在托管人能够知悉和掌握的情况范围内，托管人对管理人报告中的财务数据进行了复核，未发现存在虚假记载、误导性陈述或者重大遗漏的情形。</w:t>
      </w:r>
    </w:p>
    <w:p>
      <w:pPr>
        <w:spacing w:line="360" w:lineRule="auto"/>
        <w:ind w:firstLine="42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  <w:lang w:bidi="ar"/>
        </w:rPr>
        <w:t xml:space="preserve">特此公告。</w:t>
      </w:r>
    </w:p>
    <w:p>
      <w:pPr>
        <w:spacing w:line="360" w:lineRule="auto"/>
        <w:ind w:firstLine="420"/>
        <w:rPr>
          <w:rFonts w:eastAsia="Times New Roman"/>
        </w:rPr>
      </w:pPr>
      <w:r>
        <w:rPr>
          <w:rFonts w:ascii="Calibri" w:eastAsia="Calibri" w:hAnsi="Calibri" w:cs="Calibri"/>
          <w:szCs w:val="21"/>
        </w:rPr>
        <w:t xml:space="preserve"> 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齐鲁银行股份有限公司</w:t>
      </w:r>
    </w:p>
    <w:p>
      <w:pPr>
        <w:ind w:firstLine="400"/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2025-01-15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              </w:t>
      </w:r>
    </w:p>
    <w:sectPr>
      <w:footerReference w:type="default" r:id="rId3"/>
      <w:footerReference w:type="even" r:id="rId4"/>
      <w:pgSz w:w="11906" w:h="16838"/>
      <w:pgMar w:top="1440" w:right="1531" w:bottom="1134" w:left="1531" w:header="851" w:footer="992"/>
      <w:pgNumType w:fmt="decimal" w:start="1" w:chapSep="hyphen"/>
      <w:cols w:space="720" w:num="1"/>
      <w:titlePg/>
      <w:docGrid w:type="lines" w:linePitch="312" w:charSpace="0"/>
    </w:sectPr>
  </w:body>
  <w:background w:color="FFFFFF"/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>
  <w:p>
    <w:pPr>
      <w:pStyle w:val="10"/>
      <w:framePr w:dropCap="none" w:wrap="around" w:hAnchor="margin" w:vAnchor="text" w:xAlign="right" w:y="1" w:yAlign="inline" w:hRule="auto" w:anchorLock="off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>
  <w:p>
    <w:pPr>
      <w:pStyle w:val="10"/>
      <w:framePr w:dropCap="none" w:wrap="around" w:hAnchor="margin" w:vAnchor="text" w:xAlign="right" w:y="1" w:yAlign="inline" w:hRule="auto" w:anchorLock="off"/>
      <w:rPr>
        <w:rStyle w:val="20"/>
      </w:rPr>
    </w:pPr>
    <w:r>
      <w:rPr>
        <w:rStyle w:val="20"/>
      </w:rPr>
      <w:fldChar w:fldCharType="begin" w:fldLock="off" w:dirty="off"/>
    </w:r>
    <w:r>
      <w:rPr>
        <w:rStyle w:val="20"/>
      </w:rPr>
      <w:instrText xml:space="preserve">PAGE  </w:instrText>
    </w:r>
    <w:r>
      <w:rPr>
        <w:rStyle w:val="20"/>
      </w:rPr>
      <w:fldChar w:fldCharType="end" w:fldLock="off" w:dirty="off"/>
    </w:r>
  </w:p>
  <w:p>
    <w:pPr>
      <w:pStyle w:val="10"/>
      <w:ind w:right="360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7D73EE"/>
    <w:multiLevelType w:val="multilevel"/>
    <w:tmpl w:val="547D73EE"/>
    <w:lvl w:ilvl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>
      <w:start w:val="1"/>
      <w:numFmt w:val="lowerLetter"/>
      <w:lvlText w:val="%2)"/>
      <w:lvlJc w:val="left"/>
      <w:pPr>
        <w:ind w:left="840" w:hanging="420"/>
      </w:pPr>
      <w:rPr/>
    </w:lvl>
    <w:lvl w:ilvl="2">
      <w:start w:val="1"/>
      <w:numFmt w:val="lowerRoman"/>
      <w:lvlText w:val="%3."/>
      <w:lvlJc w:val="right"/>
      <w:pPr>
        <w:ind w:left="1260" w:hanging="420"/>
      </w:pPr>
      <w:rPr/>
    </w:lvl>
    <w:lvl w:ilvl="3">
      <w:start w:val="1"/>
      <w:numFmt w:val="decimal"/>
      <w:lvlText w:val="%4."/>
      <w:lvlJc w:val="left"/>
      <w:pPr>
        <w:ind w:left="1680" w:hanging="420"/>
      </w:pPr>
      <w:rPr/>
    </w:lvl>
    <w:lvl w:ilvl="4">
      <w:start w:val="1"/>
      <w:numFmt w:val="lowerLetter"/>
      <w:lvlText w:val="%5)"/>
      <w:lvlJc w:val="left"/>
      <w:pPr>
        <w:ind w:left="2100" w:hanging="420"/>
      </w:pPr>
      <w:rPr/>
    </w:lvl>
    <w:lvl w:ilvl="5">
      <w:start w:val="1"/>
      <w:numFmt w:val="lowerRoman"/>
      <w:lvlText w:val="%6."/>
      <w:lvlJc w:val="right"/>
      <w:pPr>
        <w:ind w:left="2520" w:hanging="420"/>
      </w:pPr>
      <w:rPr/>
    </w:lvl>
    <w:lvl w:ilvl="6">
      <w:start w:val="1"/>
      <w:numFmt w:val="decimal"/>
      <w:lvlText w:val="%7."/>
      <w:lvlJc w:val="left"/>
      <w:pPr>
        <w:ind w:left="2940" w:hanging="420"/>
      </w:pPr>
      <w:rPr/>
    </w:lvl>
    <w:lvl w:ilvl="7">
      <w:start w:val="1"/>
      <w:numFmt w:val="lowerLetter"/>
      <w:lvlText w:val="%8)"/>
      <w:lvlJc w:val="left"/>
      <w:pPr>
        <w:ind w:left="3360" w:hanging="420"/>
      </w:pPr>
      <w:rPr/>
    </w:lvl>
    <w:lvl w:ilvl="8">
      <w:start w:val="1"/>
      <w:numFmt w:val="lowerRoman"/>
      <w:lvlText w:val="%9."/>
      <w:lvlJc w:val="right"/>
      <w:pPr>
        <w:ind w:left="3780" w:hanging="420"/>
      </w:pPr>
      <w:rPr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bordersDoNotSurroundHeader w:val="0"/>
  <w:bordersDoNotSurroundFooter w:val="0"/>
  <w:stylePaneFormatFilter w:val="3F01"/>
  <w:documentProtection w:edit="none" w:formatting="off" w:enforcement="off" w:cryptProviderType="rsaAES" w:cryptAlgorithmClass="hash" w:cryptAlgorithmType="typeAny"/>
  <w:defaultTabStop w:val="420"/>
  <w:drawingGridVerticalSpacing w:val="156"/>
  <w:displayHorizontalDrawingGridEvery w:val="1"/>
  <w:displayVerticalDrawingGridEvery w:val="1"/>
  <w:noPunctuationKerning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305A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A8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1A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6D1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8F5"/>
    <w:rsid w:val="00131F63"/>
    <w:rsid w:val="001321D3"/>
    <w:rsid w:val="001367E6"/>
    <w:rsid w:val="0013763A"/>
    <w:rsid w:val="00137F13"/>
    <w:rsid w:val="00140432"/>
    <w:rsid w:val="00142BF7"/>
    <w:rsid w:val="001431D2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76115"/>
    <w:rsid w:val="0019201F"/>
    <w:rsid w:val="00193F23"/>
    <w:rsid w:val="00196688"/>
    <w:rsid w:val="001A6A60"/>
    <w:rsid w:val="001A6DCE"/>
    <w:rsid w:val="001B0D81"/>
    <w:rsid w:val="001B2258"/>
    <w:rsid w:val="001B3575"/>
    <w:rsid w:val="001B43F0"/>
    <w:rsid w:val="001B6489"/>
    <w:rsid w:val="001C4ACD"/>
    <w:rsid w:val="001C5999"/>
    <w:rsid w:val="001D364E"/>
    <w:rsid w:val="001D61DA"/>
    <w:rsid w:val="001E1A37"/>
    <w:rsid w:val="001E27AF"/>
    <w:rsid w:val="001E2A08"/>
    <w:rsid w:val="001E4B7A"/>
    <w:rsid w:val="001E5E17"/>
    <w:rsid w:val="001E7354"/>
    <w:rsid w:val="001E7E3E"/>
    <w:rsid w:val="001F28F0"/>
    <w:rsid w:val="001F4ADC"/>
    <w:rsid w:val="001F5BAE"/>
    <w:rsid w:val="001F7D68"/>
    <w:rsid w:val="00203B47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6FB5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0418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48"/>
    <w:rsid w:val="00352670"/>
    <w:rsid w:val="00353071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5970"/>
    <w:rsid w:val="00386B5A"/>
    <w:rsid w:val="00391B1F"/>
    <w:rsid w:val="00392524"/>
    <w:rsid w:val="0039364C"/>
    <w:rsid w:val="00393CB1"/>
    <w:rsid w:val="003942F4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64C"/>
    <w:rsid w:val="0041580B"/>
    <w:rsid w:val="00415C27"/>
    <w:rsid w:val="00415F33"/>
    <w:rsid w:val="004169FD"/>
    <w:rsid w:val="00420876"/>
    <w:rsid w:val="0042283D"/>
    <w:rsid w:val="00422CE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31F4"/>
    <w:rsid w:val="00524996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56DA2"/>
    <w:rsid w:val="00560EAF"/>
    <w:rsid w:val="00572059"/>
    <w:rsid w:val="00573E83"/>
    <w:rsid w:val="00575762"/>
    <w:rsid w:val="005775FA"/>
    <w:rsid w:val="00583550"/>
    <w:rsid w:val="00591622"/>
    <w:rsid w:val="005947ED"/>
    <w:rsid w:val="00596277"/>
    <w:rsid w:val="00596803"/>
    <w:rsid w:val="005A6657"/>
    <w:rsid w:val="005B0572"/>
    <w:rsid w:val="005B19E8"/>
    <w:rsid w:val="005B6C71"/>
    <w:rsid w:val="005B7EF7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27DC0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2BA8"/>
    <w:rsid w:val="006A307A"/>
    <w:rsid w:val="006B0B91"/>
    <w:rsid w:val="006B24E7"/>
    <w:rsid w:val="006B554E"/>
    <w:rsid w:val="006B5B87"/>
    <w:rsid w:val="006B77BE"/>
    <w:rsid w:val="006C21A8"/>
    <w:rsid w:val="006C49D3"/>
    <w:rsid w:val="006C71D5"/>
    <w:rsid w:val="006C742E"/>
    <w:rsid w:val="006D4D97"/>
    <w:rsid w:val="006D78DE"/>
    <w:rsid w:val="006E2B12"/>
    <w:rsid w:val="006E3BE7"/>
    <w:rsid w:val="006E5986"/>
    <w:rsid w:val="006E5F79"/>
    <w:rsid w:val="006E6073"/>
    <w:rsid w:val="006E72DC"/>
    <w:rsid w:val="006E7D51"/>
    <w:rsid w:val="006F01F5"/>
    <w:rsid w:val="006F05AC"/>
    <w:rsid w:val="006F1E99"/>
    <w:rsid w:val="006F26FB"/>
    <w:rsid w:val="006F2A9A"/>
    <w:rsid w:val="006F33DF"/>
    <w:rsid w:val="006F3BCC"/>
    <w:rsid w:val="00710F9C"/>
    <w:rsid w:val="00711860"/>
    <w:rsid w:val="00714D1B"/>
    <w:rsid w:val="00717029"/>
    <w:rsid w:val="00720312"/>
    <w:rsid w:val="0072202C"/>
    <w:rsid w:val="0072288E"/>
    <w:rsid w:val="00727121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3DEB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B3FDF"/>
    <w:rsid w:val="007C00B5"/>
    <w:rsid w:val="007C271F"/>
    <w:rsid w:val="007D4695"/>
    <w:rsid w:val="007D5F69"/>
    <w:rsid w:val="007D7D2D"/>
    <w:rsid w:val="007E22BB"/>
    <w:rsid w:val="007E24A8"/>
    <w:rsid w:val="007E6BBB"/>
    <w:rsid w:val="007F261A"/>
    <w:rsid w:val="007F4389"/>
    <w:rsid w:val="0080135F"/>
    <w:rsid w:val="00802F9D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466A5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16D8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0656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2C76"/>
    <w:rsid w:val="00932DEA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2AB"/>
    <w:rsid w:val="0097695A"/>
    <w:rsid w:val="00982515"/>
    <w:rsid w:val="00985C6F"/>
    <w:rsid w:val="00987DA5"/>
    <w:rsid w:val="00996119"/>
    <w:rsid w:val="009A10CD"/>
    <w:rsid w:val="009A7588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2D2A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AF6371"/>
    <w:rsid w:val="00B01D6A"/>
    <w:rsid w:val="00B0308C"/>
    <w:rsid w:val="00B10E20"/>
    <w:rsid w:val="00B13755"/>
    <w:rsid w:val="00B14EDA"/>
    <w:rsid w:val="00B15B26"/>
    <w:rsid w:val="00B15EA7"/>
    <w:rsid w:val="00B218BF"/>
    <w:rsid w:val="00B273A3"/>
    <w:rsid w:val="00B27FD9"/>
    <w:rsid w:val="00B30A58"/>
    <w:rsid w:val="00B33E1B"/>
    <w:rsid w:val="00B343B8"/>
    <w:rsid w:val="00B347A3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84C"/>
    <w:rsid w:val="00B73D60"/>
    <w:rsid w:val="00B7675B"/>
    <w:rsid w:val="00B80918"/>
    <w:rsid w:val="00B81709"/>
    <w:rsid w:val="00B82529"/>
    <w:rsid w:val="00B82FD4"/>
    <w:rsid w:val="00B91227"/>
    <w:rsid w:val="00B9280A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0CCC"/>
    <w:rsid w:val="00BF2E9E"/>
    <w:rsid w:val="00BF5021"/>
    <w:rsid w:val="00BF625D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521"/>
    <w:rsid w:val="00C41372"/>
    <w:rsid w:val="00C41F00"/>
    <w:rsid w:val="00C41FD7"/>
    <w:rsid w:val="00C4406A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A5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271"/>
    <w:rsid w:val="00D06468"/>
    <w:rsid w:val="00D1017D"/>
    <w:rsid w:val="00D11282"/>
    <w:rsid w:val="00D11D55"/>
    <w:rsid w:val="00D14569"/>
    <w:rsid w:val="00D15AFB"/>
    <w:rsid w:val="00D15B0F"/>
    <w:rsid w:val="00D25096"/>
    <w:rsid w:val="00D2614B"/>
    <w:rsid w:val="00D3035E"/>
    <w:rsid w:val="00D30B4B"/>
    <w:rsid w:val="00D31FD3"/>
    <w:rsid w:val="00D3496C"/>
    <w:rsid w:val="00D35F7B"/>
    <w:rsid w:val="00D3643E"/>
    <w:rsid w:val="00D40841"/>
    <w:rsid w:val="00D411DB"/>
    <w:rsid w:val="00D452EA"/>
    <w:rsid w:val="00D54504"/>
    <w:rsid w:val="00D57ABE"/>
    <w:rsid w:val="00D60D0A"/>
    <w:rsid w:val="00D63034"/>
    <w:rsid w:val="00D664DF"/>
    <w:rsid w:val="00D679E8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16C03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213D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701"/>
    <w:rsid w:val="00F34D29"/>
    <w:rsid w:val="00F35C2C"/>
    <w:rsid w:val="00F36C13"/>
    <w:rsid w:val="00F43944"/>
    <w:rsid w:val="00F44F0C"/>
    <w:rsid w:val="00F45974"/>
    <w:rsid w:val="00F45EFD"/>
    <w:rsid w:val="00F51B8A"/>
    <w:rsid w:val="00F52438"/>
    <w:rsid w:val="00F53A4B"/>
    <w:rsid w:val="00F64D16"/>
    <w:rsid w:val="00F65B50"/>
    <w:rsid w:val="00F66D00"/>
    <w:rsid w:val="00F67B3D"/>
    <w:rsid w:val="00F733D2"/>
    <w:rsid w:val="00F87CF1"/>
    <w:rsid w:val="00F906DF"/>
    <w:rsid w:val="00F926DD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A6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1B7772E4"/>
    <w:rsid w:val="2A0F0CCD"/>
    <w:rsid w:val="3F6778EF"/>
    <w:rsid w:val="46A87316"/>
    <w:rsid w:val="4746708A"/>
    <w:rsid w:val="541F3E53"/>
    <w:rsid w:val="59CF39D5"/>
    <w:rsid w:val="5E927177"/>
    <w:rsid w:val="63FA7DBC"/>
    <w:rsid w:val="6ACC0B2B"/>
    <w:rsid w:val="78A05E3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</w:rPr>
    </w:rPrDefault>
    <w:pPrDefault/>
  </w:docDefaults>
  <w:latentStyles w:defLockedState="off" w:defUIPriority="99" w:defSemiHidden="on" w:defUnhideWhenUsed="on" w:defQFormat="off" w:count="260">
    <w:lsdException w:name="Normal" w:uiPriority="0" w:qFormat="on"/>
    <w:lsdException w:name="heading 1" w:uiPriority="9" w:qFormat="on"/>
    <w:lsdException w:name="heading 2" w:uiPriority="9" w:qFormat="on"/>
    <w:lsdException w:name="heading 3" w:uiPriority="9" w:qFormat="on"/>
    <w:lsdException w:name="heading 4" w:uiPriority="0" w:qFormat="on"/>
    <w:lsdException w:name="heading 5" w:uiPriority="9" w:qFormat="on"/>
    <w:lsdException w:name="heading 6" w:uiPriority="9" w:qFormat="on"/>
    <w:lsdException w:name="heading 7" w:uiPriority="9" w:qFormat="on"/>
    <w:lsdException w:name="heading 8" w:uiPriority="9" w:qFormat="on"/>
    <w:lsdException w:name="heading 9" w:uiPriority="9" w:qFormat="on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 w:qFormat="on"/>
    <w:lsdException w:name="annotation text" w:uiPriority="0" w:qFormat="on"/>
    <w:lsdException w:name="header" w:uiPriority="0" w:qFormat="on"/>
    <w:lsdException w:name="footer" w:uiPriority="0" w:qFormat="on"/>
    <w:lsdException w:name="index heading" w:uiPriority="0"/>
    <w:lsdException w:name="caption" w:uiPriority="35" w:qFormat="on"/>
    <w:lsdException w:name="table of figures" w:uiPriority="0"/>
    <w:lsdException w:name="envelope address" w:uiPriority="0"/>
    <w:lsdException w:name="envelope return" w:uiPriority="0"/>
    <w:lsdException w:name="footnote reference" w:uiPriority="0" w:qFormat="on"/>
    <w:lsdException w:name="annotation reference" w:uiPriority="0" w:qFormat="on"/>
    <w:lsdException w:name="line number" w:uiPriority="0"/>
    <w:lsdException w:name="page number" w:uiPriority="0" w:qFormat="on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qFormat="on"/>
    <w:lsdException w:name="Closing" w:uiPriority="0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uiPriority="0" w:qFormat="on"/>
    <w:lsdException w:name="Salutation" w:uiPriority="0"/>
    <w:lsdException w:name="Date" w:uiPriority="0" w:qFormat="on"/>
    <w:lsdException w:name="Body Text First Indent" w:uiPriority="0"/>
    <w:lsdException w:name="Body Text First Indent 2" w:uiPriority="0"/>
    <w:lsdException w:name="Note Heading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uiPriority="22" w:qFormat="on"/>
    <w:lsdException w:name="Emphasis" w:uiPriority="20" w:qFormat="on"/>
    <w:lsdException w:name="Document Map" w:uiPriority="0" w:qFormat="on"/>
    <w:lsdException w:name="Plain Text" w:uiPriority="0"/>
    <w:lsdException w:name="E-mail Signature" w:uiPriority="0"/>
    <w:lsdException w:name="Normal (Web)" w:uiPriority="0" w:qFormat="on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Typewriter" w:uiPriority="0"/>
    <w:lsdException w:name="HTML Variable" w:uiPriority="0"/>
    <w:lsdException w:name="Normal Table" w:uiPriority="99"/>
    <w:lsdException w:name="annotation subject" w:uiPriority="0" w:qFormat="on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uiPriority="0" w:qFormat="on"/>
    <w:lsdException w:name="Table Grid" w:uiPriority="0" w:qFormat="on"/>
    <w:lsdException w:name="Table Theme" w:uiPriority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on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</w:latentStyles>
  <w:style w:type="paragraph" w:default="on" w:styleId="1">
    <w:name w:val="Normal"/>
    <w:uiPriority w:val="0"/>
    <w:qFormat/>
    <w:pPr>
      <w:widowControl w:val="0"/>
      <w:jc w:val="both"/>
    </w:pPr>
    <w:rPr>
      <w:rFonts w:ascii="Times New Roman" w:eastAsia="宋体" w:hAnsi="Times New Roman" w:cs="Times New Roman"/>
      <w:kern w:val="2"/>
      <w:sz w:val="24"/>
      <w:lang w:val="en-US" w:eastAsia="zh-CN" w:bidi="ar-SA"/>
    </w:rPr>
  </w:style>
  <w:style w:type="paragraph" w:styleId="2">
    <w:name w:val="heading 1"/>
    <w:basedOn w:val="1"/>
    <w:next w:val="1"/>
    <w:link w:val="26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/>
    </w:rPr>
  </w:style>
  <w:style w:type="paragraph" w:styleId="3">
    <w:name w:val="heading 2"/>
    <w:basedOn w:val="1"/>
    <w:next w:val="1"/>
    <w:link w:val="27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/>
    </w:rPr>
  </w:style>
  <w:style w:type="paragraph" w:styleId="4">
    <w:name w:val="heading 3"/>
    <w:basedOn w:val="1"/>
    <w:next w:val="1"/>
    <w:link w:val="23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/>
    </w:rPr>
  </w:style>
  <w:style w:type="paragraph" w:styleId="5">
    <w:name w:val="heading 4"/>
    <w:basedOn w:val="1"/>
    <w:next w:val="1"/>
    <w:link w:val="33"/>
    <w:uiPriority w:val="0"/>
    <w:semiHidden/>
    <w:unhideWhenUsed/>
    <w:qFormat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/>
    </w:rPr>
  </w:style>
  <w:style w:type="character" w:default="on" w:styleId="19">
    <w:name w:val="Default Paragraph Font"/>
    <w:uiPriority w:val="1"/>
    <w:semiHidden/>
    <w:unhideWhenUsed/>
  </w:style>
  <w:style w:type="table" w:default="on" w:styleId="17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uiPriority w:val="0"/>
    <w:qFormat/>
    <w:pPr>
      <w:shd w:val="clear" w:color="auto" w:fill="000080"/>
    </w:pPr>
  </w:style>
  <w:style w:type="paragraph" w:styleId="7">
    <w:name w:val="annotation text"/>
    <w:basedOn w:val="1"/>
    <w:uiPriority w:val="0"/>
    <w:qFormat/>
    <w:pPr>
      <w:jc w:val="left"/>
    </w:pPr>
  </w:style>
  <w:style w:type="paragraph" w:styleId="8">
    <w:name w:val="Date"/>
    <w:basedOn w:val="1"/>
    <w:next w:val="1"/>
    <w:link w:val="48"/>
    <w:uiPriority w:val="0"/>
    <w:qFormat/>
    <w:rPr>
      <w:rFonts w:ascii="宋体"/>
      <w:sz w:val="32"/>
      <w:lang w:val="zh-CN"/>
    </w:rPr>
  </w:style>
  <w:style w:type="paragraph" w:styleId="9">
    <w:name w:val="Balloon Text"/>
    <w:basedOn w:val="1"/>
    <w:uiPriority w:val="0"/>
    <w:qFormat/>
    <w:rPr>
      <w:sz w:val="18"/>
      <w:szCs w:val="18"/>
    </w:rPr>
  </w:style>
  <w:style w:type="paragraph" w:styleId="10">
    <w:name w:val="footer"/>
    <w:basedOn w:val="1"/>
    <w:uiPriority w:val="0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uiPriority w:val="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uiPriority w:val="0"/>
    <w:qFormat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uiPriority w:val="0"/>
    <w:qFormat/>
    <w:pPr>
      <w:snapToGrid w:val="0"/>
      <w:jc w:val="left"/>
    </w:pPr>
    <w:rPr>
      <w:sz w:val="18"/>
      <w:szCs w:val="18"/>
      <w:lang w:val="zh-CN"/>
    </w:rPr>
  </w:style>
  <w:style w:type="paragraph" w:styleId="14">
    <w:name w:val="Normal (Web)"/>
    <w:basedOn w:val="1"/>
    <w:uiPriority w:val="0"/>
    <w:qFormat/>
    <w:pPr>
      <w:widowControl/>
      <w:spacing w:before="100" w:beforeAutospacing="on" w:after="100" w:afterAutospacing="on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uiPriority w:val="10"/>
    <w:qFormat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uiPriority w:val="0"/>
    <w:qFormat/>
    <w:rPr>
      <w:b/>
      <w:bCs/>
    </w:rPr>
  </w:style>
  <w:style w:type="table" w:styleId="18">
    <w:name w:val="Table Grid"/>
    <w:basedOn w:val="17"/>
    <w:uiPriority w:val="0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20">
    <w:name w:val="page number"/>
    <w:basedOn w:val="19"/>
    <w:uiPriority w:val="0"/>
    <w:qFormat/>
  </w:style>
  <w:style w:type="character" w:styleId="21">
    <w:name w:val="annotation reference"/>
    <w:uiPriority w:val="0"/>
    <w:qFormat/>
    <w:rPr>
      <w:sz w:val="21"/>
      <w:szCs w:val="21"/>
    </w:rPr>
  </w:style>
  <w:style w:type="character" w:styleId="22">
    <w:name w:val="footnote reference"/>
    <w:uiPriority w:val="0"/>
    <w:qFormat/>
    <w:rPr>
      <w:vertAlign w:val="superscript"/>
    </w:rPr>
  </w:style>
  <w:style w:type="character" w:customStyle="1" w:styleId="23">
    <w:name w:val="标题 3 字符"/>
    <w:link w:val="4"/>
    <w:uiPriority w:val="9"/>
    <w:qFormat/>
    <w:rPr>
      <w:b/>
      <w:bCs/>
      <w:sz w:val="32"/>
      <w:szCs w:val="32"/>
    </w:rPr>
  </w:style>
  <w:style w:type="character" w:customStyle="1" w:styleId="24">
    <w:name w:val="CODE"/>
    <w:uiPriority w:val="0"/>
    <w:qFormat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uiPriority w:val="0"/>
    <w:qFormat/>
    <w:rPr>
      <w:rFonts w:ascii="Cambria" w:eastAsia="宋体" w:hAnsi="Cambria" w:cs="Times New Roman"/>
      <w:b/>
      <w:kern w:val="28"/>
      <w:sz w:val="24"/>
      <w:szCs w:val="32"/>
    </w:rPr>
  </w:style>
  <w:style w:type="character" w:customStyle="1" w:styleId="26">
    <w:name w:val="标题 1 字符"/>
    <w:link w:val="2"/>
    <w:uiPriority w:val="9"/>
    <w:qFormat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uiPriority w:val="9"/>
    <w:qFormat/>
    <w:rPr>
      <w:rFonts w:ascii="Cambria" w:eastAsia="宋体" w:hAnsi="Cambria" w:cs="Times New Roman"/>
      <w:b/>
      <w:bCs/>
      <w:sz w:val="32"/>
      <w:szCs w:val="32"/>
    </w:rPr>
  </w:style>
  <w:style w:type="character" w:customStyle="1" w:styleId="28">
    <w:name w:val="标题 字符"/>
    <w:link w:val="15"/>
    <w:uiPriority w:val="10"/>
    <w:qFormat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uiPriority w:val="0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on" w:after="100" w:afterAutospacing="on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uiPriority w:val="0"/>
    <w:qFormat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uiPriority w:val="0"/>
    <w:qFormat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uiPriority w:val="0"/>
    <w:qFormat/>
  </w:style>
  <w:style w:type="character" w:customStyle="1" w:styleId="33">
    <w:name w:val="标题 4 字符"/>
    <w:link w:val="5"/>
    <w:uiPriority w:val="0"/>
    <w:semiHidden/>
    <w:qFormat/>
    <w:rPr>
      <w:rFonts w:ascii="Cambria" w:eastAsia="宋体" w:hAnsi="Cambria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uiPriority w:val="0"/>
    <w:qFormat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uiPriority w:val="0"/>
    <w:qFormat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uiPriority w:val="0"/>
    <w:qFormat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uiPriority w:val="0"/>
    <w:qFormat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uiPriority w:val="0"/>
    <w:qFormat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uiPriority w:val="0"/>
    <w:qFormat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uiPriority w:val="0"/>
    <w:qFormat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uiPriority w:val="0"/>
    <w:qFormat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uiPriority w:val="0"/>
    <w:qFormat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uiPriority w:val="0"/>
    <w:qFormat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uiPriority w:val="0"/>
    <w:qFormat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uiPriority w:val="0"/>
    <w:qFormat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uiPriority w:val="0"/>
    <w:qFormat/>
    <w:pPr>
      <w:widowControl w:val="0"/>
      <w:autoSpaceDE w:val="0"/>
      <w:autoSpaceDN w:val="0"/>
      <w:adjustRightInd w:val="0"/>
    </w:pPr>
    <w:rPr>
      <w:rFonts w:ascii="仿宋" w:eastAsia="宋体" w:hAnsi="仿宋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uiPriority w:val="0"/>
    <w:qFormat/>
    <w:rPr>
      <w:kern w:val="2"/>
      <w:sz w:val="18"/>
      <w:szCs w:val="18"/>
    </w:rPr>
  </w:style>
  <w:style w:type="character" w:customStyle="1" w:styleId="48">
    <w:name w:val="日期 字符"/>
    <w:link w:val="8"/>
    <w:uiPriority w:val="0"/>
    <w:qFormat/>
    <w:rPr>
      <w:rFonts w:ascii="宋体"/>
      <w:kern w:val="2"/>
      <w:sz w:val="32"/>
    </w:rPr>
  </w:style>
  <w:style w:type="paragraph" w:styleId="49">
    <w:name w:val="List Paragraph"/>
    <w:basedOn w:val="1"/>
    <w:uiPriority w:val="34"/>
    <w:qFormat/>
    <w:pPr>
      <w:ind w:firstLineChars="200" w:firstLine="420"/>
    </w:pPr>
  </w:style>
  <w:style w:type="paragraph" w:customStyle="1" w:styleId="50">
    <w:name w:val="Char1"/>
    <w:basedOn w:val="1"/>
    <w:uiPriority w:val="0"/>
    <w:qFormat/>
  </w:style>
  <w:style w:type="paragraph" w:customStyle="1" w:styleId="51">
    <w:name w:val="MsoNormal"/>
    <w:basedOn w:val="1"/>
    <w:uiPriority w:val="0"/>
    <w:qFormat/>
    <w:pPr>
      <w:widowControl/>
      <w:jc w:val="left"/>
    </w:pPr>
    <w:rPr>
      <w:kern w:val="0"/>
      <w:sz w:val="24"/>
      <w:szCs w:val="24"/>
    </w:rPr>
  </w:style>
  <w:style w:type="paragraph" w:customStyle="1" w:styleId="52">
    <w:name w:val="p"/>
    <w:basedOn w:val="1"/>
    <w:uiPriority w:val="0"/>
    <w:qFormat/>
    <w:pPr>
      <w:widowControl/>
      <w:jc w:val="left"/>
    </w:pPr>
    <w:rPr>
      <w:kern w:val="0"/>
      <w:sz w:val="24"/>
      <w:szCs w:val="24"/>
    </w:rPr>
  </w:style>
  <w:style w:type="character" w:customStyle="1" w:styleId="53">
    <w:name w:val="font11"/>
    <w:basedOn w:val="19"/>
    <w:uiPriority w:val="0"/>
    <w:rPr>
      <w:rFonts w:ascii="宋体" w:eastAsia="宋体" w:hAnsi="宋体" w:cs="宋体" w:hint="eastAsia"/>
      <w:color w:val="000000"/>
      <w:sz w:val="22"/>
      <w:szCs w:val="22"/>
      <w:u w:val="none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footer" Target="footer1.xml"/><Relationship Id="rId4" Type="http://schemas.openxmlformats.org/officeDocument/2006/relationships/footer" Target="footer2.xml"/><Relationship Id="rId5" Type="http://schemas.openxmlformats.org/officeDocument/2006/relationships/theme" Target="theme/theme1.xml"/><Relationship Id="rId6" Type="http://schemas.openxmlformats.org/officeDocument/2006/relationships/numbering" Target="numbering.xml"/><Relationship Id="rId7" Type="http://schemas.openxmlformats.org/officeDocument/2006/relationships/customXml" Target="../customXml/item1.xml"/><Relationship Id="rId8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A3438-05E5-4974-986F-B8135B59055B}">
  <ds:schemaRefs/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Company>Lenovo</Company>
  <Pages>5</Pages>
  <Words>393</Words>
  <Characters>2242</Characters>
  <Lines>18</Lines>
  <Paragraphs>5</Paragraphs>
  <TotalTime>25</TotalTime>
  <ScaleCrop>false</ScaleCrop>
  <LinksUpToDate>false</LinksUpToDate>
  <CharactersWithSpaces>2630</CharactersWithSpaces>
  <Application>WPS Office_11.8.2.12085_F1E327BC-269C-435d-A152-05C5408002CA</Application>
  <DocSecurity>0</DocSecurity>
</Properties>
</file>

<file path=docProps/core.xml><?xml version="1.0" encoding="utf-8"?>
<coreProperties xmlns:cp="http://schemas.openxmlformats.org/package/2006/metadata/core-properties" xmlns:dc="http://purl.org/dc/elements/1.1/" xmlns:dcterms="http://purl.org/dc/terms/" xmlns:xsi="http://www.w3.org/2001/XMLSchema-instance" xmlns="http://schemas.openxmlformats.org/package/2006/metadata/core-properties">
  <dcterms:created xsi:type="dcterms:W3CDTF">2020-01-07T12:08:00Z</dcterms:created>
  <dc:creator>yss</dc:creator>
  <cp:lastModifiedBy>80314765</cp:lastModifiedBy>
  <cp:lastPrinted>2411-12-31T15:59:00Z</cp:lastPrinted>
  <dcterms:modified xsi:type="dcterms:W3CDTF">2024-10-12T09:24:34Z</dcterms:modified>
  <cp:revision>192</cp:revision>
  <dc:title>gongGaoMingCheng</dc:title>
</coreProperties>
</file>

<file path=docProps/custom.xml><?xml version="1.0" encoding="utf-8"?>
<q1:Properties xmlns="http://schemas.openxmlformats.org/spreadsheetml/2006/main" xmlns:vt="http://schemas.openxmlformats.org/officeDocument/2006/docPropsVTypes" xmlns:q1="http://schemas.openxmlformats.org/officeDocument/2006/custom-properties">
  <q1:property fmtid="{D5CDD505-2E9C-101B-9397-08002B2CF9AE}" pid="2" name="KSOProductBuildVer">
    <vt:lpwstr>2052-11.8.2.12085</vt:lpwstr>
  </q1:property>
  <q1:property fmtid="{D5CDD505-2E9C-101B-9397-08002B2CF9AE}" pid="3" name="ICV">
    <vt:lpwstr>DDB6BE404FC94DA28337DF223BD1B1BA</vt:lpwstr>
  </q1:property>
  <q1:property fmtid="{D5CDD505-2E9C-101B-9397-08002B2CF9AE}" pid="4" name="Generator">
    <vt:lpwstr>NPOI</vt:lpwstr>
  </q1:property>
  <q1:property fmtid="{D5CDD505-2E9C-101B-9397-08002B2CF9AE}" pid="5" name="Generator Version">
    <vt:lpwstr>2.2.1</vt:lpwstr>
  </q1:property>
</q1:Properties>
</file>