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安稳泉家2023年18号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安稳泉家2023年18号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C1088123000061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2023-08-23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210,685,000.00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23018B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4.05/年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23018C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23018A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3.95/年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103.87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23018B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23018C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23018A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222,237,913.25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23018A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9,963,536.66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23018B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130,542,735.54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23018C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81,731,641.05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1.054835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23018A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1.05378494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23018B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1.05514658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23018C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1.05446575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1.054835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23018A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1.05378494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23018B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1.05514658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23018C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1.05446575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23018A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23018B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23018C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0.97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126,919,509.02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54.98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128,919,430.37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55.85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113,472,549.15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49.16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128,227,529.05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55.55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13,446,959.87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691,901.31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0.30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1,713,580.54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751,703.24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0.33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641,749.45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0.28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103,173,363.28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44.69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18.70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532,013.99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0.23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230,844,594.24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131,806,774.35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57.10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注1：间接投资占产品总资产的比例（%）为占本产品总资产的比例（%）。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52,999,285.89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23.85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50,174,077.39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22.58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24南京旅游MTN001(资产担保)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20,780,186.03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9.35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24青岛城投MTN007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20,290,483.84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9.13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23渝合01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15,907,960.85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7.16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21恒丰银行永续债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13,800,833.30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6.21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24YH5A1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13,446,959.87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6.05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23穗高Y6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12,528,034.36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5.64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23济南能源MTN001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12,458,584.60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5.61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23临东01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11,571,321.32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5.21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210,685,000.00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23018A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9,455,000.00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23018B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123,720,000.00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23018C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77,510,000.00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210,685,000.00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23018A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9,455,000.00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23018B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123,720,000.00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23018C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77,510,000.00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中国工商银行山东省分行资产托管专户-齐鲁银行安稳泉家2023年18号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1602023929200288796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工商银行济南趵突泉支行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