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安稳泉家2023年19号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安稳泉家2023年19号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C1088123000062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2023-09-06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152,107,000.00 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23019B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23019C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3.95/年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23019A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3.9/年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103.67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23019B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23019C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23019A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160,109,804.86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23019A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9,408,738.71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23019B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92,478,974.45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23019C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58,222,091.70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1.05261299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23019A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1.05160821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23019B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1.0529315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23019C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1.05226986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1.05261299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23019A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1.05160821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23019B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1.0529315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23019C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1.05226986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0.96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23019A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23019B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23019C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0.96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164,980,098.33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99.39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164,980,098.33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99.39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1,009,834.77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0.61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165,989,933.10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/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23黄岛01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15,377,923.15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9.60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20兰州银行永续债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14,832,101.45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9.26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24洛阳城投PPN002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14,649,482.64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9.15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20河北银行永续债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13,364,994.77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8.35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23章丘01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12,604,005.37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7.87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23渝合01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11,802,680.63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7.37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23汉口银行二级资本债01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11,074,403.70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6.92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24海创YK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10,450,754.93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6.53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22滨江Y1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10,220,962.47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6.38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21晋商银行二级01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9,662,718.39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6.04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152,107,000.00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23019A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8,947,000.00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23019B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87,830,000.00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23019C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55,330,000.00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152,107,000.00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23019A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8,947,000.00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23019B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87,830,000.00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23019C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55,330,000.00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中国工商银行山东省分行资产托管专户-齐鲁银行安稳泉家2023年19号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1602023929200288823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工商银行济南趵突泉支行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