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安稳泉家2023年20号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安稳泉家2023年20号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C1088123000067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2023-09-20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242,153,000.00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23020B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23020C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3.95/年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23020A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3.9/年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104.13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23020B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23020C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23020A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254,528,680.50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23020A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10,252,246.78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23020B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149,782,053.87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23020C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94,494,379.85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1.05110686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23020A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1.05011234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23020B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1.05139726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23020C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1.0507548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1.05110686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23020A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1.05011234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23020B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1.05139726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23020C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1.0507548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23020A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23020B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23020C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0.96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214,734,075.32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81.02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78,249,295.83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29.52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214,734,075.32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81.02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78,249,295.83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29.52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137,197.09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14,211.43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50,174,077.39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18.93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531,961.89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0.20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265,045,349.82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78,795,469.15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29.73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注1：间接投资占产品总资产的比例（%）为占本产品总资产的比例（%）。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中信建投期货-固益联12号集合资产管理计划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50,174,077.39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19.71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24滨州城建MTN003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22,464,423.92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8.83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23鲁黄金MTN004(科创票据)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21,864,349.93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8.59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23中建六局MTN001(科创票据)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21,800,963.01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8.57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23鄂交通MTN001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21,676,475.59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8.52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24洛阳城投PPN002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20,927,832.35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8.22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24武侯02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19,710,700.99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7.74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24邯郸城投MTN001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18,172,720.86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7.14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21青山湖PPN001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16,575,196.93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6.51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24济南高新MTN004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15,253,870.27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5.99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242,153,000.00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23020A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9,763,000.00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23020B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142,460,000.00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23020C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89,930,000.00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242,153,000.00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23020A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9,763,000.00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23020B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142,460,000.00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23020C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89,930,000.00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中国工商银行山东省分行资产托管专户-齐鲁银行安稳泉家2023年20号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1602023929200290688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工商银行济南趵突泉支行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