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安稳泉家2024年15号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安稳泉家2024年15号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C1088124000031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2024-06-04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240,329,000.00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24015F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3.15/年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3.1/年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3.15/年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101.85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24015F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0.15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244,743,584.64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24015A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5,685,086.32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113,002,423.17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24015E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96,668,818.56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24015F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5,745,962.47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7,514,386.78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16,126,907.34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1.01836892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24015A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1.01792055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1.01849863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1.01820959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24015F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1.01878767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1.01820959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1.01849863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1.01836892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24015A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1.01792055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1.01849863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1.01820959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24015F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1.01878767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1.01820959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1.01849863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24015A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24015E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24015F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24015X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0.80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249,260,244.88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99.99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249,260,244.88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99.99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16,746.89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249,276,991.77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21日照土地PPN001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22,489,711.26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9.19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23厦门银行永续债01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21,636,733.97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8.84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21诸暨新城PPN001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21,468,455.05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8.77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23西咸新发PPN002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21,224,728.74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8.67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23鲁黄金MTN004(科创票据)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20,823,190.41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23济南能源MTN002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20,772,558.90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8.49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23晋交投MTN005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20,307,998.36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8.30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21汉口银行永续债01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20,134,353.62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8.23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20威海银行二级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17,476,058.92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7.14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21成都国投MTN003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15,189,301.44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6.21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240,329,000.00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24015A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5,585,000.00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24015B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110,950,000.00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24015E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94,940,000.00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24015F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5,640,000.00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24015H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7,380,000.00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24015X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15,834,000.00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240,329,000.00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24015A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5,585,000.00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24015B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110,950,000.00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24015E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94,940,000.00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24015F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5,640,000.00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24015H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7,380,000.00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24015X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15,834,000.00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齐鲁银行股份有限公司安稳泉家2024年15号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1602023929200308538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