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安稳泉家2024年28号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安稳泉家2024年28号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C1088124000050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2024-08-27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230,780,000.00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3.05/年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3.05/年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24028F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3.05/年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24028N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3.05/年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2.95/年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24028E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101.38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24028F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24028N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24028E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233,203,677.07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24028A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33,654,937.59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70,742,863.58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29,959,497.41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24028E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30,313,150.77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24028F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30,318,370.07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24028H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20,148,140.95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24028N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10,106,123.35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24028X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7,960,593.35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1.01050211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24028A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1.01026438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1.01061233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1.01043836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1.01043835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24028F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1.01061233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1.01043836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1.01061233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1.01061233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1.01050211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24028A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1.01026438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1.01061233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1.01043836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1.01043835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24028F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1.01061233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1.01043836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1.01061233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1.01061233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24028A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24028E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24028F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24028H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24028N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24028X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0.77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185,352,869.67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78.40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78,249,295.83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33.10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166,167,751.89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70.28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78,249,295.83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33.10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19,185,117.78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8.11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906,114.70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0.38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14,211.43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50,174,077.39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21.22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0.22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531,961.89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0.22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236,433,061.98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78,795,469.15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33.33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注1：间接投资占产品总资产的比例（%）为占本产品总资产的比例（%）。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50,174,077.39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21.52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20泰安城乡PPN001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22,961,748.99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9.85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21杭州联合农商永续债01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21,344,597.26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9.15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21恒丰银行永续债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21,232,051.23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9.10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20恒丰银行永续债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20,614,448.49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8.84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23即墨03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19,185,117.78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8.23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20聊开01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18,669,031.64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8.01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21合川城投MTN002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15,317,178.70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6.57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23水电十局MTN001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15,307,705.27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6.56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24济南高新MTN004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15,253,870.27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6.54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230,780,000.00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24028A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33,313,000.00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24028B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24028C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29,650,000.00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24028E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24028F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24028H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19,940,000.00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24028N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10,000,000.00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24028X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7,877,000.00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230,780,000.00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24028A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33,313,000.00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24028B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24028C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29,650,000.00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24028E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24028F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24028H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19,940,000.00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24028N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10,000,000.00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24028X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7,877,000.00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中国工商银行山东省分行资产托管专户-齐鲁安稳泉家2024年28号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1602023929200317391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