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财复盈35天1号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财复盈35天1号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C1088122000038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2022-07-06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311,356,851.42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22351B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2.65/年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22351A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2.55/年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100.14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22351A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22351C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22351B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109,179.00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2024-12-31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336,200,375.11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22351A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210,538,106.61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22351B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125,662,268.50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1.07979115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22351A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1.07900177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22351B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1.08111629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1.07979115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22351A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1.07900177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22351B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1.08111629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22351A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22351B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0.77</w:t>
            </w:r>
          </w:p>
        </w:tc>
      </w:tr>
    </w:tbl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截位法8位，其他财务指标保留至小数点后第2位。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报告期内，组合底仓以中高等级信用债为主，严控信用风险，辅助中长期利率债波段交易，在平衡风险和收益的基础上，通过波段交易，增厚组合收益。四季度以来，组合有序调升组合久期至中性偏积极的水平，力求在控制风险的基础上为客户提供更高的投资收益。</w:t>
      </w:r>
      <w:bookmarkStart w:id="2" w:name="_GoBack"/>
      <w:bookmarkEnd w:id="2"/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sz w:val="24"/>
          <w:szCs w:val="24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281,332,428.44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83.56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37,253,230.98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11.07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281,332,428.44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83.56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37,047,556.94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205,674.03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15,001,232.88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4.46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509,377.58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3,388,273.29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527,986.21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36,631,167.42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10.88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319,968.98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0.10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184.48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336,673,071.01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38,290,779.25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11.37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22龙川01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24,421,130.14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创金合信恒利75号集合资产管理计划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20,876,642.02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21河北高速MTN002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20,810,871.78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21南水02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20,757,309.59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24进出01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20,396,249.18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23扬州03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20,390,213.70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23合产K2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20,361,443.84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23芝罘02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20,159,842.47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21河北银行永续债01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16,057,175.96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鑫沅鑫梅花527号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15,754,525.40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4.69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正常</w:t>
            </w:r>
          </w:p>
        </w:tc>
      </w:tr>
    </w:tbl>
    <w:p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309,526,573.43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22351A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197,668,273.76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22351B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111,858,299.67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71,038,826.36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-69,208,548.37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311,356,851.42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22351A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195,123,039.20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22351B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116,233,812.22</w:t>
            </w:r>
          </w:p>
        </w:tc>
      </w:tr>
    </w:tbl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53"/>
                <w:lang w:val="en-US" w:eastAsia="zh-CN" w:bidi="ar"/>
              </w:rPr>
              <w:t>齐鲁银行股份有限公司财复盈35天1号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531902382310250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招商银行济南分行营业部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4.7 管理人报告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cs="宋体"/>
          <w:color w:val="000000"/>
          <w:sz w:val="24"/>
          <w:szCs w:val="24"/>
          <w:lang w:val="en-US" w:eastAsia="zh-CN"/>
        </w:rPr>
        <w:t>经研判债券市场情况，为保护投资者合法权益，参照《商业银行理财产品核算估值指引（征求意见稿）》文件精神，对于交易所资产支持证券和私募债，鉴于其交易不活跃，未来的现金流也难以确认，调整为收盘价/买入成本估值。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2DAF44B7"/>
    <w:rsid w:val="3A197624"/>
    <w:rsid w:val="3E6D0791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5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2411-12-31T15:59:00Z</cp:lastPrinted>
  <dcterms:modified xsi:type="dcterms:W3CDTF">2025-01-21T05:50:22Z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7AA810CA232742C384C775C848914550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