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财复盈35天5号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2024年第4季度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产品管理人：齐鲁银行股份有限公司</w:t>
      </w: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产品托管人：招商银行股份有限公司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1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重要提示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产品管理人的董事会及董事保证本报告所载资料不存在虚假记载、误导性陈述或重大遗漏，并对其内容的真实性、准确性和完整性承担个别及连带责任。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产品管理人承诺以诚实信用、勤勉尽责的原则管理和运用产品资产，但不保证产品一定盈利。　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产品的过往业绩并不代表其未来表现。投资有风险，投资者在作出投资决策前应仔细阅读本产品的产品说明书。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本报告中财务资料未经审计。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</w:t>
      </w:r>
      <w:r>
        <w:rPr>
          <w:rFonts w:ascii="宋体" w:hAnsi="宋体" w:cs="宋体"/>
          <w:color w:val="000000"/>
          <w:sz w:val="24"/>
          <w:szCs w:val="24"/>
        </w:rPr>
        <w:t>报告期</w:t>
      </w:r>
      <w:r>
        <w:rPr>
          <w:rFonts w:hint="eastAsia" w:ascii="宋体" w:hAnsi="宋体" w:cs="宋体"/>
          <w:color w:val="000000"/>
          <w:sz w:val="24"/>
          <w:szCs w:val="24"/>
        </w:rPr>
        <w:t>自 2024-10-01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</w:rPr>
        <w:t>起至 2024-12-31</w:t>
      </w:r>
      <w:r>
        <w:rPr>
          <w:rFonts w:ascii="宋体" w:hAnsi="宋体" w:cs="宋体"/>
          <w:color w:val="000000"/>
          <w:sz w:val="24"/>
          <w:szCs w:val="24"/>
        </w:rPr>
        <w:t xml:space="preserve"> 止。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2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 xml:space="preserve">产品概况 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2.1 产品基本情况</w:t>
            </w:r>
          </w:p>
        </w:tc>
      </w:tr>
    </w:tbl>
    <w:p>
      <w:pPr>
        <w:rPr>
          <w:vanish/>
          <w:sz w:val="24"/>
          <w:szCs w:val="24"/>
        </w:rPr>
      </w:pPr>
    </w:p>
    <w:tbl>
      <w:tblPr>
        <w:tblStyle w:val="17"/>
        <w:tblW w:w="89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7"/>
        <w:gridCol w:w="448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44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产品中文商业全称</w:t>
            </w:r>
          </w:p>
        </w:tc>
        <w:tc>
          <w:tcPr>
            <w:tcW w:w="44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财复盈35天5号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产品登记编码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C1088122000042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产品成立/起始日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2022-08-03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报告期末产品份额总额（份）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264,451,632.50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业绩比较基准（%）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22355B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2.5/年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22355A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2.4/年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杠杆水平（%）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100.12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销售手续费率（%）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22355A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22355C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22355B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托管费率（%）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0.005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固定管理费率（%）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其他费率（%）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业绩报酬（元）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82,801.00</w:t>
            </w:r>
          </w:p>
        </w:tc>
      </w:tr>
    </w:tbl>
    <w:p>
      <w:pPr>
        <w:ind w:firstLine="400"/>
        <w:jc w:val="center"/>
        <w:rPr>
          <w:rFonts w:eastAsia="Times New Roman"/>
        </w:rPr>
      </w:pPr>
      <w:r>
        <w:rPr>
          <w:rFonts w:eastAsia="Times New Roman"/>
        </w:rPr>
        <w:t> 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3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主要财务指标和产品净值表现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3.1 主要财务指标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51"/>
              <w:jc w:val="righ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单位：元、元/份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15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1"/>
        <w:gridCol w:w="457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5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  <w:vAlign w:val="center"/>
          </w:tcPr>
          <w:p>
            <w:pPr>
              <w:pStyle w:val="52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主要财务指标</w:t>
            </w:r>
          </w:p>
        </w:tc>
        <w:tc>
          <w:tcPr>
            <w:tcW w:w="457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pStyle w:val="51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2024-10-01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>至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 xml:space="preserve"> 2024-12-31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1.期末产品资产净值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282,947,941.73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其中： 22355A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181,425,667.11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22355B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101,522,274.62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2.期末产品份额净值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1.06994212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其中： 22355A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1.06904442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22355B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1.07155012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3.期末产品份额累计净值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1.06994212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其中： 22355A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1.06904442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22355B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1.07155012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4.本报告期累计净值增长率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0.66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其中： 22355A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0.66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22355B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0.68</w:t>
            </w:r>
          </w:p>
        </w:tc>
      </w:tr>
    </w:tbl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截位法8位，其他财务指标保留至小数点后第2位。</w:t>
      </w:r>
    </w:p>
    <w:p>
      <w:pPr>
        <w:ind w:firstLine="400"/>
        <w:jc w:val="center"/>
        <w:rPr>
          <w:rFonts w:eastAsiaTheme="minorEastAsia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4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投资组合报告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4.1 管理人对报告期内投资组合的投资策略说明</w:t>
      </w:r>
    </w:p>
    <w:p>
      <w:pPr>
        <w:jc w:val="left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4.1.1 </w:t>
      </w:r>
      <w:r>
        <w:rPr>
          <w:rFonts w:hint="eastAsia" w:ascii="宋体" w:hAnsi="宋体" w:cs="宋体"/>
          <w:color w:val="000000"/>
          <w:sz w:val="24"/>
          <w:szCs w:val="24"/>
        </w:rPr>
        <w:t>投资组合的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投资策略和运作分析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2024年四季度，债券市场整体呈现下行态势。924新政后，债券市场在稳增长政策和赎回负反馈下，大幅上行，此后随着股票市场深度回调，债券市场再次回归基本面定价。虽然政府债券供给增加扰动市场，但在宽松的货币环境下，债券收益率短暂震荡后快速下行，利率中枢进一步下移。往后看，2025年低利率常态延续，债券收益率中枢预计持续下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报告期内，组合底仓以中高等级信用债为主，严控信用风险，辅助中长期利率债波段交易，在平衡风险和收益的基础上，通过波段交易，增厚组合收益。四季度以来，组合有序调升组合久期至中性偏积极的水平，力求在控制风险的基础上为客户提供更高的投资收益。</w:t>
      </w: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4.1.2 </w:t>
      </w:r>
      <w:r>
        <w:rPr>
          <w:rFonts w:hint="eastAsia" w:ascii="宋体" w:hAnsi="宋体" w:cs="宋体"/>
          <w:color w:val="000000"/>
          <w:sz w:val="24"/>
          <w:szCs w:val="24"/>
        </w:rPr>
        <w:t>投资组合的流动性风险分析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产品投资方向为固收类资产，本行审慎对国内外宏观经济形势、市场利率走势及债券市场资金供求情况综合分析，预测债券市场利率走势，结合流动性预判及各类流动性管理措施，并对各投资品种收益率、波动性、各类风险进行在控制风险的前提下，积极构建及调整投资组合，力争合理的流动性安排。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cs="宋体"/>
          <w:color w:val="000000"/>
          <w:sz w:val="24"/>
          <w:szCs w:val="24"/>
        </w:rPr>
      </w:pPr>
      <w:bookmarkStart w:id="2" w:name="_GoBack"/>
      <w:bookmarkEnd w:id="2"/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4.2 报告期末资产情况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251,549,437.19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88.79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28,051,330.07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9.90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251,549,437.19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88.79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27,939,860.98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9.86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111,469.09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276,067.21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4,469,213.72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1.58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407,109.67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资管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27,248,554.02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9.62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25,702.52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0.01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159.85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283,292,907.45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28,734,666.81</w:t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10.14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注1：间接投资占产品总资产的比例（%）为占本产品总资产的比例（%）。</w:t>
      </w:r>
    </w:p>
    <w:p>
      <w:pPr>
        <w:ind w:left="420" w:leftChars="200"/>
        <w:jc w:val="left"/>
        <w:rPr>
          <w:rFonts w:asciiTheme="minorEastAsia" w:hAnsiTheme="minorEastAsia" w:eastAsiaTheme="minorEastAsia"/>
          <w:szCs w:val="21"/>
        </w:rPr>
      </w:pP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4.3 报告期末投资前十名资产明细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22绍城01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21,396,200.00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7.56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22财金投资MTN001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20,795,973.70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7.35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24海资01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20,056,383.56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7.09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创金合信恒利75号集合资产管理计划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18,710,078.67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6.61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22汴投02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15,957,760.00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5.64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22陕投集团MTN005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15,266,730.00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5.40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23滁城01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10,627,704.11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3.76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23余城01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10,598,956.16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3.75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23临沂城投MTN001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10,588,712.19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3.74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24南安01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10,289,108.22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bookmarkStart w:id="0" w:name="OLE_LINK5"/>
            <w:bookmarkStart w:id="1" w:name="OLE_LINK6"/>
            <w:r>
              <w:rPr>
                <w:rFonts w:ascii="宋体" w:hAnsi="宋体" w:cs="宋体"/>
                <w:color w:val="000000"/>
                <w:sz w:val="24"/>
                <w:szCs w:val="24"/>
              </w:rPr>
              <w:t>3.64</w:t>
            </w:r>
            <w:bookmarkEnd w:id="0"/>
            <w:bookmarkEnd w:id="1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注：前十项资产明细仅包含证券投资、场外投资，不包含银行存款、存出保证金、清算备付金等资产。</w:t>
      </w:r>
    </w:p>
    <w:p>
      <w:pPr>
        <w:jc w:val="left"/>
        <w:rPr>
          <w:rFonts w:asciiTheme="minorEastAsia" w:hAnsiTheme="minorEastAsia" w:eastAsiaTheme="minorEastAsia"/>
          <w:sz w:val="24"/>
          <w:szCs w:val="24"/>
        </w:rPr>
      </w:pPr>
    </w:p>
    <w:p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4.4 报告期末投资非标准化债权资产情况</w:t>
      </w:r>
    </w:p>
    <w:tbl>
      <w:tblPr>
        <w:tblStyle w:val="17"/>
        <w:tblW w:w="90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92"/>
        <w:gridCol w:w="993"/>
        <w:gridCol w:w="1291"/>
        <w:gridCol w:w="1350"/>
        <w:gridCol w:w="2133"/>
        <w:gridCol w:w="15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704" w:type="dxa"/>
            <w:shd w:val="clear" w:color="auto" w:fill="D9D9D9"/>
            <w:vAlign w:val="center"/>
          </w:tcPr>
          <w:p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992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项目名称</w:t>
            </w:r>
          </w:p>
        </w:tc>
        <w:tc>
          <w:tcPr>
            <w:tcW w:w="9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融资客户</w:t>
            </w:r>
          </w:p>
        </w:tc>
        <w:tc>
          <w:tcPr>
            <w:tcW w:w="129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剩余融资期限（天）</w:t>
            </w:r>
          </w:p>
        </w:tc>
        <w:tc>
          <w:tcPr>
            <w:tcW w:w="1350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到期收益分配</w:t>
            </w:r>
          </w:p>
        </w:tc>
        <w:tc>
          <w:tcPr>
            <w:tcW w:w="213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交易结构</w:t>
            </w:r>
          </w:p>
        </w:tc>
        <w:tc>
          <w:tcPr>
            <w:tcW w:w="1567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风险状况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0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33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67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正常</w:t>
            </w:r>
          </w:p>
        </w:tc>
      </w:tr>
    </w:tbl>
    <w:p>
      <w:pPr>
        <w:ind w:left="4" w:leftChars="2"/>
        <w:jc w:val="left"/>
        <w:rPr>
          <w:rFonts w:asciiTheme="minorEastAsia" w:hAnsiTheme="minorEastAsia" w:eastAsiaTheme="minorEastAsia"/>
          <w:szCs w:val="21"/>
        </w:rPr>
      </w:pPr>
    </w:p>
    <w:p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4.5 产品份额变动</w:t>
      </w:r>
    </w:p>
    <w:p>
      <w:pPr>
        <w:ind w:left="4" w:leftChars="2"/>
        <w:jc w:val="right"/>
        <w:rPr>
          <w:rFonts w:asciiTheme="minorEastAsia" w:hAnsiTheme="minorEastAsia" w:eastAsiaTheme="minorEastAsia"/>
          <w:szCs w:val="21"/>
        </w:rPr>
      </w:pPr>
      <w:r>
        <w:rPr>
          <w:rFonts w:hint="eastAsia" w:ascii="宋体" w:hAnsi="宋体" w:cs="宋体"/>
          <w:color w:val="000000"/>
          <w:sz w:val="24"/>
          <w:szCs w:val="24"/>
        </w:rPr>
        <w:t>单位：份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60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报告期期初产品份额总额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311,088,073.17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22355A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188,682,689.66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22355B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122,405,383.51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报告期期间产品总申购份额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71,898,013.61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报告期期间产品总赎回份额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-118,534,454.28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报告期期末产品份额总额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264,451,632.50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22355A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169,708,257.82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22355B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94,743,374.68</w:t>
            </w:r>
          </w:p>
        </w:tc>
      </w:tr>
    </w:tbl>
    <w:p>
      <w:pPr>
        <w:spacing w:line="360" w:lineRule="auto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4.6 投资账户信息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1838"/>
        <w:gridCol w:w="1734"/>
        <w:gridCol w:w="38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账户类型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账户名称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账号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开户行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托管账户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Style w:val="53"/>
                <w:lang w:val="en-US" w:eastAsia="zh-CN" w:bidi="ar"/>
              </w:rPr>
              <w:t>齐鲁银行股份有限公司财复盈35天5号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531902382310722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济南分行营业部</w:t>
            </w:r>
          </w:p>
        </w:tc>
      </w:tr>
    </w:tbl>
    <w:p>
      <w:pPr>
        <w:spacing w:line="360" w:lineRule="auto"/>
        <w:rPr>
          <w:rFonts w:ascii="宋体" w:hAnsi="宋体" w:cs="宋体"/>
          <w:color w:val="000000"/>
          <w:sz w:val="24"/>
          <w:szCs w:val="24"/>
          <w:lang w:val="en-US" w:eastAsia="zh-CN"/>
        </w:rPr>
      </w:pPr>
    </w:p>
    <w:p>
      <w:pPr>
        <w:spacing w:line="360" w:lineRule="auto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4.7 管理人报告</w:t>
      </w:r>
    </w:p>
    <w:p>
      <w:pPr>
        <w:spacing w:line="360" w:lineRule="auto"/>
        <w:rPr>
          <w:rFonts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   </w:t>
      </w:r>
      <w:r>
        <w:rPr>
          <w:rFonts w:ascii="宋体" w:hAnsi="宋体" w:cs="宋体"/>
          <w:color w:val="000000"/>
          <w:sz w:val="24"/>
          <w:szCs w:val="24"/>
          <w:lang w:val="en-US" w:eastAsia="zh-CN"/>
        </w:rPr>
        <w:t>经研判债券市场情况，为保护投资者合法权益，参照《商业银行理财产品核算估值指引（征求意见稿）》文件精神，对于交易所资产支持证券和私募债，鉴于其交易不活跃，未来的现金流也难以确认，调整为收盘价/买入成本估值。</w:t>
      </w:r>
    </w:p>
    <w:p>
      <w:pPr>
        <w:spacing w:line="360" w:lineRule="auto"/>
        <w:rPr>
          <w:rFonts w:ascii="宋体" w:hAnsi="宋体" w:cs="宋体"/>
          <w:color w:val="000000"/>
          <w:sz w:val="24"/>
          <w:szCs w:val="24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5  托管人报告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托管人声明：本报告期内，资产托管人严格遵守有关法律法规、托管协议关于托管人职责的约定，尽职尽责地履行了托管职责并安全保管托管资产。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在管理人提供的各项数据和信息真实、准确、有效的前提下，在托管人能够知悉和掌握的情况范围内，托管人对管理人报告中的财务数据进行了复核，未发现存在虚假记载、误导性陈述或者重大遗漏的情形。</w:t>
      </w:r>
    </w:p>
    <w:p>
      <w:pPr>
        <w:spacing w:line="360" w:lineRule="auto"/>
        <w:ind w:firstLine="42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bidi="ar"/>
        </w:rPr>
        <w:t>特此公告。</w:t>
      </w:r>
    </w:p>
    <w:p>
      <w:pPr>
        <w:spacing w:line="360" w:lineRule="auto"/>
        <w:ind w:firstLine="420"/>
        <w:rPr>
          <w:rFonts w:eastAsia="Times New Roman"/>
        </w:rPr>
      </w:pPr>
      <w:r>
        <w:rPr>
          <w:rFonts w:ascii="Calibri" w:hAnsi="Calibri" w:eastAsia="Calibri" w:cs="Calibri"/>
          <w:szCs w:val="21"/>
        </w:rPr>
        <w:t> 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齐鲁银行股份有限公司</w:t>
      </w:r>
    </w:p>
    <w:p>
      <w:pPr>
        <w:ind w:firstLine="400"/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2025-01-15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305A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A8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1A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6D1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8F5"/>
    <w:rsid w:val="00131F63"/>
    <w:rsid w:val="001321D3"/>
    <w:rsid w:val="001367E6"/>
    <w:rsid w:val="0013763A"/>
    <w:rsid w:val="00137F13"/>
    <w:rsid w:val="00140432"/>
    <w:rsid w:val="00142BF7"/>
    <w:rsid w:val="001431D2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76115"/>
    <w:rsid w:val="0019201F"/>
    <w:rsid w:val="00193F23"/>
    <w:rsid w:val="00196688"/>
    <w:rsid w:val="001A6A60"/>
    <w:rsid w:val="001A6DCE"/>
    <w:rsid w:val="001B0D81"/>
    <w:rsid w:val="001B2258"/>
    <w:rsid w:val="001B3575"/>
    <w:rsid w:val="001B43F0"/>
    <w:rsid w:val="001B6489"/>
    <w:rsid w:val="001C4ACD"/>
    <w:rsid w:val="001C5999"/>
    <w:rsid w:val="001D364E"/>
    <w:rsid w:val="001D61DA"/>
    <w:rsid w:val="001E1A37"/>
    <w:rsid w:val="001E27AF"/>
    <w:rsid w:val="001E2A08"/>
    <w:rsid w:val="001E4B7A"/>
    <w:rsid w:val="001E5E17"/>
    <w:rsid w:val="001E7354"/>
    <w:rsid w:val="001E7E3E"/>
    <w:rsid w:val="001F28F0"/>
    <w:rsid w:val="001F4ADC"/>
    <w:rsid w:val="001F5BAE"/>
    <w:rsid w:val="001F7D68"/>
    <w:rsid w:val="00203B47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6FB5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0418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48"/>
    <w:rsid w:val="00352670"/>
    <w:rsid w:val="00353071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5970"/>
    <w:rsid w:val="00386B5A"/>
    <w:rsid w:val="00391B1F"/>
    <w:rsid w:val="00392524"/>
    <w:rsid w:val="0039364C"/>
    <w:rsid w:val="00393CB1"/>
    <w:rsid w:val="003942F4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64C"/>
    <w:rsid w:val="0041580B"/>
    <w:rsid w:val="00415C27"/>
    <w:rsid w:val="00415F33"/>
    <w:rsid w:val="004169FD"/>
    <w:rsid w:val="00420876"/>
    <w:rsid w:val="0042283D"/>
    <w:rsid w:val="00422CE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31F4"/>
    <w:rsid w:val="00524996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56DA2"/>
    <w:rsid w:val="00560EAF"/>
    <w:rsid w:val="00572059"/>
    <w:rsid w:val="00573E83"/>
    <w:rsid w:val="00575762"/>
    <w:rsid w:val="005775FA"/>
    <w:rsid w:val="00583550"/>
    <w:rsid w:val="00591622"/>
    <w:rsid w:val="005947ED"/>
    <w:rsid w:val="00596277"/>
    <w:rsid w:val="00596803"/>
    <w:rsid w:val="005A6657"/>
    <w:rsid w:val="005B0572"/>
    <w:rsid w:val="005B19E8"/>
    <w:rsid w:val="005B6C71"/>
    <w:rsid w:val="005B7EF7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27DC0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2BA8"/>
    <w:rsid w:val="006A307A"/>
    <w:rsid w:val="006B0B91"/>
    <w:rsid w:val="006B24E7"/>
    <w:rsid w:val="006B554E"/>
    <w:rsid w:val="006B5B87"/>
    <w:rsid w:val="006B77BE"/>
    <w:rsid w:val="006C21A8"/>
    <w:rsid w:val="006C49D3"/>
    <w:rsid w:val="006C71D5"/>
    <w:rsid w:val="006C742E"/>
    <w:rsid w:val="006D4D97"/>
    <w:rsid w:val="006D78DE"/>
    <w:rsid w:val="006E2B12"/>
    <w:rsid w:val="006E3BE7"/>
    <w:rsid w:val="006E5986"/>
    <w:rsid w:val="006E5F79"/>
    <w:rsid w:val="006E6073"/>
    <w:rsid w:val="006E72DC"/>
    <w:rsid w:val="006E7D51"/>
    <w:rsid w:val="006F01F5"/>
    <w:rsid w:val="006F05AC"/>
    <w:rsid w:val="006F1E99"/>
    <w:rsid w:val="006F26FB"/>
    <w:rsid w:val="006F2A9A"/>
    <w:rsid w:val="006F33DF"/>
    <w:rsid w:val="006F3BCC"/>
    <w:rsid w:val="00710F9C"/>
    <w:rsid w:val="00711860"/>
    <w:rsid w:val="00714D1B"/>
    <w:rsid w:val="00717029"/>
    <w:rsid w:val="00720312"/>
    <w:rsid w:val="0072202C"/>
    <w:rsid w:val="0072288E"/>
    <w:rsid w:val="00727121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3DEB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B3FDF"/>
    <w:rsid w:val="007C00B5"/>
    <w:rsid w:val="007C271F"/>
    <w:rsid w:val="007D4695"/>
    <w:rsid w:val="007D5F69"/>
    <w:rsid w:val="007D7D2D"/>
    <w:rsid w:val="007E22BB"/>
    <w:rsid w:val="007E24A8"/>
    <w:rsid w:val="007E6BBB"/>
    <w:rsid w:val="007F261A"/>
    <w:rsid w:val="007F4389"/>
    <w:rsid w:val="0080135F"/>
    <w:rsid w:val="00802F9D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466A5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16D8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0656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2C76"/>
    <w:rsid w:val="00932DEA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2AB"/>
    <w:rsid w:val="0097695A"/>
    <w:rsid w:val="00982515"/>
    <w:rsid w:val="00985C6F"/>
    <w:rsid w:val="00987DA5"/>
    <w:rsid w:val="00996119"/>
    <w:rsid w:val="009A10CD"/>
    <w:rsid w:val="009A7588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2D2A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AF6371"/>
    <w:rsid w:val="00B01D6A"/>
    <w:rsid w:val="00B0308C"/>
    <w:rsid w:val="00B10E20"/>
    <w:rsid w:val="00B13755"/>
    <w:rsid w:val="00B14EDA"/>
    <w:rsid w:val="00B15B26"/>
    <w:rsid w:val="00B15EA7"/>
    <w:rsid w:val="00B218BF"/>
    <w:rsid w:val="00B273A3"/>
    <w:rsid w:val="00B27FD9"/>
    <w:rsid w:val="00B30A58"/>
    <w:rsid w:val="00B33E1B"/>
    <w:rsid w:val="00B343B8"/>
    <w:rsid w:val="00B347A3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84C"/>
    <w:rsid w:val="00B73D60"/>
    <w:rsid w:val="00B7675B"/>
    <w:rsid w:val="00B80918"/>
    <w:rsid w:val="00B81709"/>
    <w:rsid w:val="00B82529"/>
    <w:rsid w:val="00B82FD4"/>
    <w:rsid w:val="00B91227"/>
    <w:rsid w:val="00B9280A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0CCC"/>
    <w:rsid w:val="00BF2E9E"/>
    <w:rsid w:val="00BF5021"/>
    <w:rsid w:val="00BF625D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521"/>
    <w:rsid w:val="00C41372"/>
    <w:rsid w:val="00C41F00"/>
    <w:rsid w:val="00C41FD7"/>
    <w:rsid w:val="00C4406A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A5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271"/>
    <w:rsid w:val="00D06468"/>
    <w:rsid w:val="00D1017D"/>
    <w:rsid w:val="00D11282"/>
    <w:rsid w:val="00D11D55"/>
    <w:rsid w:val="00D14569"/>
    <w:rsid w:val="00D15AFB"/>
    <w:rsid w:val="00D15B0F"/>
    <w:rsid w:val="00D25096"/>
    <w:rsid w:val="00D2614B"/>
    <w:rsid w:val="00D3035E"/>
    <w:rsid w:val="00D30B4B"/>
    <w:rsid w:val="00D31FD3"/>
    <w:rsid w:val="00D3496C"/>
    <w:rsid w:val="00D35F7B"/>
    <w:rsid w:val="00D3643E"/>
    <w:rsid w:val="00D40841"/>
    <w:rsid w:val="00D411DB"/>
    <w:rsid w:val="00D452EA"/>
    <w:rsid w:val="00D54504"/>
    <w:rsid w:val="00D57ABE"/>
    <w:rsid w:val="00D60D0A"/>
    <w:rsid w:val="00D63034"/>
    <w:rsid w:val="00D664DF"/>
    <w:rsid w:val="00D679E8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16C03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213D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701"/>
    <w:rsid w:val="00F34D29"/>
    <w:rsid w:val="00F35C2C"/>
    <w:rsid w:val="00F36C13"/>
    <w:rsid w:val="00F43944"/>
    <w:rsid w:val="00F44F0C"/>
    <w:rsid w:val="00F45974"/>
    <w:rsid w:val="00F45EFD"/>
    <w:rsid w:val="00F51B8A"/>
    <w:rsid w:val="00F52438"/>
    <w:rsid w:val="00F53A4B"/>
    <w:rsid w:val="00F64D16"/>
    <w:rsid w:val="00F65B50"/>
    <w:rsid w:val="00F66D00"/>
    <w:rsid w:val="00F67B3D"/>
    <w:rsid w:val="00F733D2"/>
    <w:rsid w:val="00F87CF1"/>
    <w:rsid w:val="00F906DF"/>
    <w:rsid w:val="00F926DD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A6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1B7772E4"/>
    <w:rsid w:val="2A0F0CCD"/>
    <w:rsid w:val="2DAF44B7"/>
    <w:rsid w:val="3F6778EF"/>
    <w:rsid w:val="46A87316"/>
    <w:rsid w:val="4746708A"/>
    <w:rsid w:val="541F3E53"/>
    <w:rsid w:val="59CF39D5"/>
    <w:rsid w:val="5E927177"/>
    <w:rsid w:val="63FA7DBC"/>
    <w:rsid w:val="6ACC0B2B"/>
    <w:rsid w:val="72A521D6"/>
    <w:rsid w:val="78A05E3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22" w:name="Strong"/>
    <w:lsdException w:qFormat="1" w:uiPriority="2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  <w:style w:type="paragraph" w:customStyle="1" w:styleId="51">
    <w:name w:val="MsoNormal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paragraph" w:customStyle="1" w:styleId="52">
    <w:name w:val="p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character" w:customStyle="1" w:styleId="53">
    <w:name w:val="font11"/>
    <w:basedOn w:val="1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A3438-05E5-4974-986F-B8135B59055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5</Pages>
  <Words>393</Words>
  <Characters>2242</Characters>
  <Lines>18</Lines>
  <Paragraphs>5</Paragraphs>
  <TotalTime>0</TotalTime>
  <ScaleCrop>false</ScaleCrop>
  <LinksUpToDate>false</LinksUpToDate>
  <CharactersWithSpaces>2630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Administrator</cp:lastModifiedBy>
  <cp:lastPrinted>2411-12-31T15:59:00Z</cp:lastPrinted>
  <dcterms:modified xsi:type="dcterms:W3CDTF">2025-01-21T05:55:34Z</dcterms:modified>
  <dc:title>gongGaoMingCheng</dc:title>
  <cp:revision>192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7AA810CA232742C384C775C848914550</vt:lpwstr>
  </property>
  <property fmtid="{D5CDD505-2E9C-101B-9397-08002B2CF9AE}" pid="4" name="Generator">
    <vt:lpwstr>NPOI</vt:lpwstr>
  </property>
  <property fmtid="{D5CDD505-2E9C-101B-9397-08002B2CF9AE}" pid="5" name="Generator Version">
    <vt:lpwstr>2.2.1</vt:lpwstr>
  </property>
</Properties>
</file>