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鸿运财富2024年13号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2024年第4季度</w:t>
      </w:r>
      <w:r>
        <w:rPr>
          <w:rFonts w:ascii="宋体" w:hAnsi="宋体" w:hint="eastAsia"/>
          <w:b/>
          <w:bCs/>
          <w:sz w:val="48"/>
          <w:szCs w:val="30"/>
        </w:rPr>
        <w:t xml:space="preserve"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产品管理人：齐鲁银行股份有限公司</w:t>
      </w: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产品托管人：中国工商银行股份有限公司</w:t>
      </w: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重要提示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产品管理人承诺以诚实信用、勤勉尽责的原则管理和运用产品资产，但不保证产品一定盈利。　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产品的过往业绩并不代表其未来表现。投资有风险，投资者在作出投资决策前应仔细阅读本产品的产品说明书。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本报告中财务资料未经审计。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</w:t>
      </w:r>
      <w:r>
        <w:rPr>
          <w:rFonts w:ascii="宋体" w:hAnsi="宋体" w:cs="宋体"/>
          <w:color w:val="000000"/>
          <w:sz w:val="24"/>
          <w:szCs w:val="24"/>
        </w:rPr>
        <w:t xml:space="preserve">报告期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产品中文商业全称</w:t>
            </w:r>
          </w:p>
        </w:tc>
        <w:tc>
          <w:tcPr>
            <w:tcW w:w="4483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鸿运财富2024年13号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产品登记编码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C1088124000021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产品成立/起始日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2024-04-16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报告期末产品份额总额（份）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318,916,000.00 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业绩比较基准（%）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24013X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3.3/年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24013H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3.25/年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24013A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3.2/年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24013B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3.3/年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杠杆水平（%）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113.56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销售手续费率（%）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24013X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24013H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0.25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24013A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24013B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托管费率（%）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固定管理费率（%）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其他费率（%）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业绩报酬（元）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 xml:space="preserve"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主要财务指标</w:t>
            </w:r>
          </w:p>
        </w:tc>
        <w:tc>
          <w:tcPr>
            <w:tcW w:w="4571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 2024-12-31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1.期末产品资产净值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326,318,882.74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24013A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118,396,649.38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24013B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153,526,028.23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24013H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32,669,201.47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24013X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21,727,003.66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2.期末产品份额净值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1.02321264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24013A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1.02279453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24013B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1.02350685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24013H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1.02315068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24013X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1.02350686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3.期末产品份额累计净值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1.02321264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24013A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1.02279453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24013B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1.02350685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24013H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1.02315068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24013X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1.02350686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4.本报告期累计净值增长率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0.81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24013A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24013B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0.82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24013H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0.81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24013X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0.82</w:t>
            </w:r>
          </w:p>
        </w:tc>
      </w:tr>
    </w:tbl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截位法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8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spacing w:lineRule="auto" w:line="360" w:before="0" w:after="0"/>
      </w:pPr>
      <w:r>
        <w:rPr>
          <w:rFonts w:ascii="宋体" w:hAnsi="宋体" w:eastAsia="宋体"/>
        </w:rPr>
        <w:t>4.1 管理人对报告期内投资组合的投资策略说明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4.1.1 投资组合的投资策略和运作分析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报告期内，组合底仓以中高等级信用债为主，严控信用风险，通过杠杆策略增厚组合收益，在平衡风险和收益的基础上，整体加大期限匹配资产的配置，动态调整资产组合久期，进一步提升产品静态收益率，并降低市场波动对产品净值的影响，力求为客户提供稳定的投资收益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4.1.2 投资组合的流动性风险分析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340,043,406.56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91.76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29,182,307.42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7.87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340,043,406.56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91.76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28,783,822.65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7.77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398,484.77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0.11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986,897.60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0.27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13,184.23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361,416.20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0.10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30,523,728.98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8.24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30.01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370,580,319.77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30,530,651.22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8.24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</w:tbl>
    <w:p>
      <w:pPr>
        <w:ind w:leftChars="200" w:left="420"/>
        <w:jc w:val="left"/>
        <w:rPr>
          <w:rFonts w:ascii="宋体" w:hAnsi="宋体"/>
          <w:sz w:val="24"/>
        </w:rPr>
      </w:pP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注1：间接投资占产品总资产的比例（%）为占本产品总资产的比例（%）。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</w:p>
    <w:p>
      <w:pPr>
        <w:ind w:leftChars="200" w:left="420"/>
        <w:jc w:val="left"/>
        <w:rPr>
          <w:rFonts w:asciiTheme="minorEastAsia" w:eastAsiaTheme="minorEastAsia" w:hAnsi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906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占产品资产净值比例（%）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23红投01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32,224,415.75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9.88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24凤新01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31,409,745.20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9.63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22江北建投MTN007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30,657,567.95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9.39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鑫沅鑫梅花527号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30,523,728.98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9.35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20潍坊银行永续债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28,716,411.84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8.80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23崂山湾PPN001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26,606,201.03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8.15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22财金01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25,494,350.00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7.81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23军民融合PPN001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20,671,926.85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6.33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20泰隆银行永续债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18,641,914.27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5.71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23红谷滩PPN001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13,132,798.29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4.02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eastAsiaTheme="minorEastAsia" w:hAnsiTheme="minorEastAsia"/>
          <w:sz w:val="24"/>
          <w:szCs w:val="24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风险状况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129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2133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  <w:bookmarkStart w:id="2" w:name="_GoBack"/>
            <w:bookmarkEnd w:id="2"/>
          </w:p>
        </w:tc>
        <w:tc>
          <w:tcPr>
            <w:tcW w:w="156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正常</w:t>
            </w:r>
          </w:p>
        </w:tc>
      </w:tr>
    </w:tbl>
    <w:p>
      <w:pPr>
        <w:ind w:leftChars="2" w:left="4"/>
        <w:jc w:val="left"/>
        <w:rPr>
          <w:rFonts w:asciiTheme="minorEastAsia" w:eastAsiaTheme="minorEastAsia" w:hAnsiTheme="minorEastAsia"/>
          <w:szCs w:val="21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4.5 产品份额变动</w:t>
      </w:r>
    </w:p>
    <w:p>
      <w:pPr>
        <w:ind w:leftChars="2" w:left="4"/>
        <w:jc w:val="right"/>
        <w:rPr>
          <w:rFonts w:asciiTheme="minorEastAsia" w:eastAsiaTheme="minorEastAsia" w:hAnsiTheme="minorEastAsia"/>
          <w:szCs w:val="21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单位：份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318,916,000.00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24013A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115,758,000.00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24013B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150,000,000.00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24013H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31,930,000.00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24013X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21,228,000.00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318,916,000.00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24013A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115,758,000.00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24013B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150,000,000.00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24013H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31,930,000.00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24013X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21,228,000.00</w:t>
            </w:r>
          </w:p>
        </w:tc>
      </w:tr>
    </w:tbl>
    <w:p>
      <w:pPr>
        <w:spacing w:line="360" w:lineRule="auto"/>
        <w:rPr>
          <w:rFonts w:ascii="宋体" w:hAnsi="宋体" w:cs="宋体" w:hint="eastAsia"/>
          <w:color w:val="000000"/>
          <w:sz w:val="24"/>
          <w:szCs w:val="24"/>
          <w:lang w:val="en-US"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val="en-US" w:eastAsia="zh-CN"/>
        </w:rPr>
        <w:t xml:space="preserve">4.6 投资账户信息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开户行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Style w:val="53"/>
                <w:lang w:val="en-US" w:eastAsia="zh-CN" w:bidi="ar"/>
              </w:rPr>
              <w:t xml:space="preserve">中国工商银行山东省分行资产托管专户-齐鲁鸿运财富2024年13号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1602023929200307086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工商银行趵突泉支行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5  托管人报告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  <w:lang w:bidi="ar"/>
        </w:rPr>
        <w:t xml:space="preserve"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eastAsia="Calibri" w:hAnsi="Calibri" w:cs="Calibri"/>
          <w:szCs w:val="21"/>
        </w:rPr>
        <w:t xml:space="preserve"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</w:t>
      </w:r>
    </w:p>
    <w:sectPr>
      <w:footerReference w:type="default" r:id="rId3"/>
      <w:footerReference w:type="even" r:id="rId4"/>
      <w:pgSz w:w="11906" w:h="16838"/>
      <w:pgMar w:top="1440" w:right="1531" w:bottom="1134" w:left="1531" w:header="851" w:footer="992"/>
      <w:pgNumType w:fmt="decimal" w:start="1" w:chapSep="hyphen"/>
      <w:cols w:space="720" w:num="1"/>
      <w:titlePg/>
      <w:docGrid w:type="lines" w:linePitch="312" w:charSpace="0"/>
    </w:sectPr>
  </w:body>
  <w:background w:color="FFFFFF"/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</w:rPr>
      <w:fldChar w:fldCharType="begin" w:fldLock="off" w:dirty="off"/>
    </w:r>
    <w:r>
      <w:rPr>
        <w:rStyle w:val="20"/>
      </w:rPr>
      <w:instrText xml:space="preserve">PAGE  </w:instrText>
    </w:r>
    <w:r>
      <w:rPr>
        <w:rStyle w:val="20"/>
      </w:rPr>
      <w:fldChar w:fldCharType="end" w:fldLock="off" w:dirty="off"/>
    </w:r>
  </w:p>
  <w:p>
    <w:pPr>
      <w:pStyle w:val="10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7D73EE"/>
    <w:multiLevelType w:val="multilevel"/>
    <w:tmpl w:val="547D73EE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>
      <w:start w:val="1"/>
      <w:numFmt w:val="lowerLetter"/>
      <w:lvlText w:val="%2)"/>
      <w:lvlJc w:val="left"/>
      <w:pPr>
        <w:ind w:left="840" w:hanging="420"/>
      </w:pPr>
      <w:rPr/>
    </w:lvl>
    <w:lvl w:ilvl="2">
      <w:start w:val="1"/>
      <w:numFmt w:val="lowerRoman"/>
      <w:lvlText w:val="%3."/>
      <w:lvlJc w:val="right"/>
      <w:pPr>
        <w:ind w:left="1260" w:hanging="420"/>
      </w:pPr>
      <w:rPr/>
    </w:lvl>
    <w:lvl w:ilvl="3">
      <w:start w:val="1"/>
      <w:numFmt w:val="decimal"/>
      <w:lvlText w:val="%4."/>
      <w:lvlJc w:val="left"/>
      <w:pPr>
        <w:ind w:left="1680" w:hanging="420"/>
      </w:pPr>
      <w:rPr/>
    </w:lvl>
    <w:lvl w:ilvl="4">
      <w:start w:val="1"/>
      <w:numFmt w:val="lowerLetter"/>
      <w:lvlText w:val="%5)"/>
      <w:lvlJc w:val="left"/>
      <w:pPr>
        <w:ind w:left="2100" w:hanging="420"/>
      </w:pPr>
      <w:rPr/>
    </w:lvl>
    <w:lvl w:ilvl="5">
      <w:start w:val="1"/>
      <w:numFmt w:val="lowerRoman"/>
      <w:lvlText w:val="%6."/>
      <w:lvlJc w:val="right"/>
      <w:pPr>
        <w:ind w:left="2520" w:hanging="420"/>
      </w:pPr>
      <w:rPr/>
    </w:lvl>
    <w:lvl w:ilvl="6">
      <w:start w:val="1"/>
      <w:numFmt w:val="decimal"/>
      <w:lvlText w:val="%7."/>
      <w:lvlJc w:val="left"/>
      <w:pPr>
        <w:ind w:left="2940" w:hanging="420"/>
      </w:pPr>
      <w:rPr/>
    </w:lvl>
    <w:lvl w:ilvl="7">
      <w:start w:val="1"/>
      <w:numFmt w:val="lowerLetter"/>
      <w:lvlText w:val="%8)"/>
      <w:lvlJc w:val="left"/>
      <w:pPr>
        <w:ind w:left="3360" w:hanging="420"/>
      </w:pPr>
      <w:rPr/>
    </w:lvl>
    <w:lvl w:ilvl="8">
      <w:start w:val="1"/>
      <w:numFmt w:val="lowerRoman"/>
      <w:lvlText w:val="%9."/>
      <w:lvlJc w:val="right"/>
      <w:pPr>
        <w:ind w:left="3780" w:hanging="420"/>
      </w:pPr>
      <w:rPr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bordersDoNotSurroundHeader w:val="0"/>
  <w:bordersDoNotSurroundFooter w:val="0"/>
  <w:stylePaneFormatFilter w:val="3F01"/>
  <w:documentProtection w:edit="none" w:formatting="off" w:enforcement="off" w:cryptProviderType="rsaAES" w:cryptAlgorithmClass="hash" w:cryptAlgorithmType="typeAny"/>
  <w:defaultTabStop w:val="420"/>
  <w:drawingGridVerticalSpacing w:val="156"/>
  <w:displayHorizontalDrawingGridEvery w:val="1"/>
  <w:displayVerticalDrawingGridEvery w:val="1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</w:rPr>
    </w:rPrDefault>
    <w:pPrDefault/>
  </w:docDefaults>
  <w:latentStyles w:defLockedState="off" w:defUIPriority="99" w:defSemiHidden="on" w:defUnhideWhenUsed="on" w:defQFormat="off" w:count="260">
    <w:lsdException w:name="Normal" w:uiPriority="0" w:qFormat="on"/>
    <w:lsdException w:name="heading 1" w:uiPriority="9" w:qFormat="on"/>
    <w:lsdException w:name="heading 2" w:uiPriority="9" w:qFormat="on"/>
    <w:lsdException w:name="heading 3" w:uiPriority="9" w:qFormat="on"/>
    <w:lsdException w:name="heading 4" w:uiPriority="0" w:qFormat="on"/>
    <w:lsdException w:name="heading 5" w:uiPriority="9" w:qFormat="on"/>
    <w:lsdException w:name="heading 6" w:uiPriority="9" w:qFormat="on"/>
    <w:lsdException w:name="heading 7" w:uiPriority="9" w:qFormat="on"/>
    <w:lsdException w:name="heading 8" w:uiPriority="9" w:qFormat="on"/>
    <w:lsdException w:name="heading 9" w:uiPriority="9" w:qFormat="on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 w:qFormat="on"/>
    <w:lsdException w:name="annotation text" w:uiPriority="0" w:qFormat="on"/>
    <w:lsdException w:name="header" w:uiPriority="0" w:qFormat="on"/>
    <w:lsdException w:name="footer" w:uiPriority="0" w:qFormat="on"/>
    <w:lsdException w:name="index heading" w:uiPriority="0"/>
    <w:lsdException w:name="caption" w:uiPriority="35" w:qFormat="on"/>
    <w:lsdException w:name="table of figures" w:uiPriority="0"/>
    <w:lsdException w:name="envelope address" w:uiPriority="0"/>
    <w:lsdException w:name="envelope return" w:uiPriority="0"/>
    <w:lsdException w:name="footnote reference" w:uiPriority="0" w:qFormat="on"/>
    <w:lsdException w:name="annotation reference" w:uiPriority="0" w:qFormat="on"/>
    <w:lsdException w:name="line number" w:uiPriority="0"/>
    <w:lsdException w:name="page number" w:uiPriority="0" w:qFormat="on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qFormat="on"/>
    <w:lsdException w:name="Closing" w:uiPriority="0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uiPriority="0" w:qFormat="on"/>
    <w:lsdException w:name="Salutation" w:uiPriority="0"/>
    <w:lsdException w:name="Date" w:uiPriority="0" w:qFormat="on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uiPriority="22" w:qFormat="on"/>
    <w:lsdException w:name="Emphasis" w:uiPriority="20" w:qFormat="on"/>
    <w:lsdException w:name="Document Map" w:uiPriority="0" w:qFormat="on"/>
    <w:lsdException w:name="Plain Text" w:uiPriority="0"/>
    <w:lsdException w:name="E-mail Signature" w:uiPriority="0"/>
    <w:lsdException w:name="Normal (Web)" w:uiPriority="0" w:qFormat="on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 w:uiPriority="99"/>
    <w:lsdException w:name="annotation subject" w:uiPriority="0" w:qFormat="on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uiPriority="0" w:qFormat="on"/>
    <w:lsdException w:name="Table Grid" w:uiPriority="0" w:qFormat="on"/>
    <w:lsdException w:name="Table Theme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on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</w:latentStyles>
  <w:style w:type="paragraph" w:default="on" w:styleId="1">
    <w:name w:val="Normal"/>
    <w:uiPriority w:val="0"/>
    <w:qFormat/>
    <w:pPr>
      <w:widowControl w:val="0"/>
      <w:jc w:val="both"/>
    </w:pPr>
    <w:rPr>
      <w:rFonts w:ascii="Times New Roman" w:eastAsia="宋体" w:hAnsi="Times New Roman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link w:val="26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uiPriority w:val="0"/>
    <w:semiHidden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on" w:styleId="19">
    <w:name w:val="Default Paragraph Font"/>
    <w:uiPriority w:val="1"/>
    <w:semiHidden/>
    <w:unhideWhenUsed/>
  </w:style>
  <w:style w:type="table" w:default="on" w:styleId="17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uiPriority w:val="0"/>
    <w:qFormat/>
    <w:pPr>
      <w:shd w:val="clear" w:color="auto" w:fill="000080"/>
    </w:pPr>
  </w:style>
  <w:style w:type="paragraph" w:styleId="7">
    <w:name w:val="annotation text"/>
    <w:basedOn w:val="1"/>
    <w:uiPriority w:val="0"/>
    <w:qFormat/>
    <w:pPr>
      <w:jc w:val="left"/>
    </w:pPr>
  </w:style>
  <w:style w:type="paragraph" w:styleId="8">
    <w:name w:val="Date"/>
    <w:basedOn w:val="1"/>
    <w:next w:val="1"/>
    <w:link w:val="48"/>
    <w:uiPriority w:val="0"/>
    <w:qFormat/>
    <w:rPr>
      <w:rFonts w:ascii="宋体"/>
      <w:sz w:val="32"/>
      <w:lang w:val="zh-CN"/>
    </w:rPr>
  </w:style>
  <w:style w:type="paragraph" w:styleId="9">
    <w:name w:val="Balloon Text"/>
    <w:basedOn w:val="1"/>
    <w:uiPriority w:val="0"/>
    <w:qFormat/>
    <w:rPr>
      <w:sz w:val="18"/>
      <w:szCs w:val="18"/>
    </w:rPr>
  </w:style>
  <w:style w:type="paragraph" w:styleId="10">
    <w:name w:val="footer"/>
    <w:basedOn w:val="1"/>
    <w:uiPriority w:val="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uiPriority w:val="0"/>
    <w:qFormat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uiPriority w:val="0"/>
    <w:qFormat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uiPriority w:val="0"/>
    <w:qFormat/>
    <w:pPr>
      <w:widowControl/>
      <w:spacing w:before="100" w:beforeAutospacing="on" w:after="100" w:afterAutospacing="on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uiPriority w:val="0"/>
    <w:qFormat/>
    <w:rPr>
      <w:b/>
      <w:bCs/>
    </w:rPr>
  </w:style>
  <w:style w:type="table" w:styleId="18">
    <w:name w:val="Table Grid"/>
    <w:basedOn w:val="17"/>
    <w:uiPriority w:val="0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20">
    <w:name w:val="page number"/>
    <w:basedOn w:val="19"/>
    <w:uiPriority w:val="0"/>
    <w:qFormat/>
  </w:style>
  <w:style w:type="character" w:styleId="21">
    <w:name w:val="annotation reference"/>
    <w:uiPriority w:val="0"/>
    <w:qFormat/>
    <w:rPr>
      <w:sz w:val="21"/>
      <w:szCs w:val="21"/>
    </w:rPr>
  </w:style>
  <w:style w:type="character" w:styleId="22">
    <w:name w:val="footnote reference"/>
    <w:uiPriority w:val="0"/>
    <w:qFormat/>
    <w:rPr>
      <w:vertAlign w:val="superscript"/>
    </w:rPr>
  </w:style>
  <w:style w:type="character" w:customStyle="1" w:styleId="23">
    <w:name w:val="标题 3 字符"/>
    <w:link w:val="4"/>
    <w:uiPriority w:val="9"/>
    <w:qFormat/>
    <w:rPr>
      <w:b/>
      <w:bCs/>
      <w:sz w:val="32"/>
      <w:szCs w:val="32"/>
    </w:rPr>
  </w:style>
  <w:style w:type="character" w:customStyle="1" w:styleId="24">
    <w:name w:val="CODE"/>
    <w:uiPriority w:val="0"/>
    <w:qFormat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uiPriority w:val="0"/>
    <w:qFormat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26">
    <w:name w:val="标题 1 字符"/>
    <w:link w:val="2"/>
    <w:uiPriority w:val="9"/>
    <w:qFormat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28">
    <w:name w:val="标题 字符"/>
    <w:link w:val="15"/>
    <w:uiPriority w:val="10"/>
    <w:qFormat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uiPriority w:val="0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on" w:after="100" w:afterAutospacing="on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uiPriority w:val="0"/>
    <w:qFormat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uiPriority w:val="0"/>
    <w:qFormat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uiPriority w:val="0"/>
    <w:qFormat/>
  </w:style>
  <w:style w:type="character" w:customStyle="1" w:styleId="33">
    <w:name w:val="标题 4 字符"/>
    <w:link w:val="5"/>
    <w:uiPriority w:val="0"/>
    <w:semiHidden/>
    <w:qFormat/>
    <w:rPr>
      <w:rFonts w:ascii="Cambria" w:eastAsia="宋体" w:hAnsi="Cambria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uiPriority w:val="0"/>
    <w:qFormat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uiPriority w:val="0"/>
    <w:qFormat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uiPriority w:val="0"/>
    <w:qFormat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uiPriority w:val="0"/>
    <w:qFormat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uiPriority w:val="0"/>
    <w:qFormat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uiPriority w:val="0"/>
    <w:qFormat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uiPriority w:val="0"/>
    <w:qFormat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uiPriority w:val="0"/>
    <w:qFormat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uiPriority w:val="0"/>
    <w:qFormat/>
    <w:pPr>
      <w:widowControl w:val="0"/>
      <w:autoSpaceDE w:val="0"/>
      <w:autoSpaceDN w:val="0"/>
      <w:adjustRightInd w:val="0"/>
    </w:pPr>
    <w:rPr>
      <w:rFonts w:ascii="仿宋" w:eastAsia="宋体" w:hAnsi="仿宋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uiPriority w:val="0"/>
    <w:qFormat/>
    <w:rPr>
      <w:kern w:val="2"/>
      <w:sz w:val="18"/>
      <w:szCs w:val="18"/>
    </w:rPr>
  </w:style>
  <w:style w:type="character" w:customStyle="1" w:styleId="48">
    <w:name w:val="日期 字符"/>
    <w:link w:val="8"/>
    <w:uiPriority w:val="0"/>
    <w:qFormat/>
    <w:rPr>
      <w:rFonts w:ascii="宋体"/>
      <w:kern w:val="2"/>
      <w:sz w:val="32"/>
    </w:rPr>
  </w:style>
  <w:style w:type="paragraph" w:styleId="49">
    <w:name w:val="List Paragraph"/>
    <w:basedOn w:val="1"/>
    <w:uiPriority w:val="34"/>
    <w:qFormat/>
    <w:pPr>
      <w:ind w:firstLineChars="200" w:firstLine="420"/>
    </w:pPr>
  </w:style>
  <w:style w:type="paragraph" w:customStyle="1" w:styleId="50">
    <w:name w:val="Char1"/>
    <w:basedOn w:val="1"/>
    <w:uiPriority w:val="0"/>
    <w:qFormat/>
  </w:style>
  <w:style w:type="paragraph" w:customStyle="1" w:styleId="51">
    <w:name w:val="MsoNormal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uiPriority w:val="0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theme" Target="theme/theme1.xml"/><Relationship Id="rId6" Type="http://schemas.openxmlformats.org/officeDocument/2006/relationships/numbering" Target="numbering.xml"/><Relationship Id="rId7" Type="http://schemas.openxmlformats.org/officeDocument/2006/relationships/customXml" Target="../customXml/item1.xml"/><Relationship Id="rId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Company>Lenovo</Company>
  <Pages>5</Pages>
  <Words>393</Words>
  <Characters>2242</Characters>
  <Lines>18</Lines>
  <Paragraphs>5</Paragraphs>
  <TotalTime>25</TotalTime>
  <ScaleCrop>false</ScaleCrop>
  <LinksUpToDate>false</LinksUpToDate>
  <CharactersWithSpaces>2630</CharactersWithSpaces>
  <Application>WPS Office_11.8.2.12085_F1E327BC-269C-435d-A152-05C5408002CA</Application>
  <DocSecurity>0</DocSecurity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2020-01-07T12:08:00Z</dcterms:created>
  <dc:creator>yss</dc:creator>
  <cp:lastModifiedBy>80314765</cp:lastModifiedBy>
  <cp:lastPrinted>2411-12-31T15:59:00Z</cp:lastPrinted>
  <dcterms:modified xsi:type="dcterms:W3CDTF">2024-10-12T09:24:34Z</dcterms:modified>
  <cp:revision>192</cp:revision>
  <dc:title>gongGaoMingCheng</dc:title>
</coreProperties>
</file>

<file path=docProps/custom.xml><?xml version="1.0" encoding="utf-8"?>
<q1:Properties xmlns="http://schemas.openxmlformats.org/spreadsheetml/2006/main" xmlns:vt="http://schemas.openxmlformats.org/officeDocument/2006/docPropsVTypes" xmlns:q1="http://schemas.openxmlformats.org/officeDocument/2006/custom-properties">
  <q1:property fmtid="{D5CDD505-2E9C-101B-9397-08002B2CF9AE}" pid="2" name="KSOProductBuildVer">
    <vt:lpwstr>2052-11.8.2.12085</vt:lpwstr>
  </q1:property>
  <q1:property fmtid="{D5CDD505-2E9C-101B-9397-08002B2CF9AE}" pid="3" name="ICV">
    <vt:lpwstr>DDB6BE404FC94DA28337DF223BD1B1BA</vt:lpwstr>
  </q1:property>
  <q1:property fmtid="{D5CDD505-2E9C-101B-9397-08002B2CF9AE}" pid="4" name="Generator">
    <vt:lpwstr>NPOI</vt:lpwstr>
  </q1:property>
  <q1:property fmtid="{D5CDD505-2E9C-101B-9397-08002B2CF9AE}" pid="5" name="Generator Version">
    <vt:lpwstr>2.2.1</vt:lpwstr>
  </q1:property>
</q1:Properties>
</file>