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鸿运财富2024年22号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鸿运财富2024年22号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2024-08-06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154,597,000.00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100.63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156,513,604.15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24022A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35,054,289.18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50,628,493.35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24022E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50,618,356.21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12,381,250.04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7,831,215.37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1.01239742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24022A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1.01216438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1.01256986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1.01236712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1.01236713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1.01256986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1.01239742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24022A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1.01216438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1.01256986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1.01236712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1.01236713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1.01256986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24022A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24022E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24022X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0.82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157,408,357.94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99.94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142,101,322.50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90.22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15,307,035.44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9.72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96,812.12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157,505,170.06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23东营财金ABN001优先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15,307,035.44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9.78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23泰安城投MTN001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13,978,298.80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8.93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22民生01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13,483,283.55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8.61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20泉州银行永续债01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13,320,126.60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23西安高新PPN004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13,156,035.62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8.41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22恒丰银行永续债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12,997,002.90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8.30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22乳山国运MTN002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12,489,389.10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7.98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23东资02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12,227,578.68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7.81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23成都工租PPN001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10,575,160.96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6.76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24邗江城建PPN001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10,373,000.00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6.63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154,597,000.00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34,633,000.00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24022E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24022H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12,230,000.00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24022X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7,734,000.00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154,597,000.00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34,633,000.00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24022E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24022H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12,230,000.00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24022X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7,734,000.00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中国工商银行山东省分行资产托管专户-齐鲁鸿运财富2024年22号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1602023929200313260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