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泉心盈196天2号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产品托管人：兴业银行股份有限公司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泉心盈196天2号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C1088122000054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2022-09-06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1,037,858,936.79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19602B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2.4/年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19602A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19602B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19602A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426,550.00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1,141,005,230.18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19602A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439,953,041.86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19602B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701,052,188.32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1.09938373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19602A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1.09750589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19602B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1.10056547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1.09938373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19602A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1.09750589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19602B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1.10056547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19602A（%）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19602B（%）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0.68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开放式产品组合底仓以中高等级信用债为主，严控信用风险，辅助中长期利率债波段交易，在平衡风险和收益的基础上，通过波段交易，增厚组合收益。二季度，组合保持中性久期水平，灵活调整组合期限结构和品种结构，力求在控制风险的基础上为客户提供更高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2,867,369.48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934,188,314.59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81.77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189,603,284.47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888,498,361.10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77.77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188,217,225.54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45,689,953.49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1,386,058.93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1,359,558.60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 xml:space="preserve">36,732,577.54 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3.22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952,487.97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其中：银行存款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3,020,595.30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952,487.97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结构性存款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cs="宋体"/>
                <w:color w:val="000000"/>
                <w:sz w:val="24"/>
                <w:szCs w:val="24"/>
                <w:lang w:val="en-US" w:eastAsia="zh-CN"/>
              </w:rPr>
              <w:t>33,711,982.24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2.95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168,704,959.53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14.77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1,000.11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620,888.28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1,142,494,221.25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192,536,219.33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16.85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鑫沅鑫梅花527号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86,539,566.94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5"/>
            <w:bookmarkStart w:id="1" w:name="OLE_LINK6"/>
            <w:r>
              <w:rPr>
                <w:rFonts w:ascii="宋体" w:hAnsi="宋体" w:cs="宋体"/>
                <w:color w:val="000000"/>
                <w:sz w:val="24"/>
                <w:szCs w:val="24"/>
              </w:rPr>
              <w:t>7.58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创金合信恒利75号集合资产管理计划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62,111,618.45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24进出09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50,616,317.12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24山东高速ABN001优先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35,662,172.67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21富交02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31,556,202.74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24中铁十四PPN001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30,871,015.89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24宿州城投PPN002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30,695,944.52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2.69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23济工02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30,652,968.49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2.69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23汴投03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30,644,515.07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2.69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23东资02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30,625,068.49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2.68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949,628,912.94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19602A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432,540,914.36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19602B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517,087,998.58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1,037,858,936.79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-949,628,912.94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1,037,858,936.79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19602A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400,866,223.62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19602B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636,992,713.17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齐鲁银行股份有限公司泉心盈196天2号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376010100101533918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兴业银行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4D0502BA"/>
    <w:rsid w:val="541F3E53"/>
    <w:rsid w:val="59CF39D5"/>
    <w:rsid w:val="5E927177"/>
    <w:rsid w:val="63FA7DBC"/>
    <w:rsid w:val="6ACC0B2B"/>
    <w:rsid w:val="78A05E31"/>
    <w:rsid w:val="7A286946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2025-07-09T01:25:20Z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