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206,594,000.00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210,467,134.74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7,770,323.22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107,016,074.35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85,072,099.79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3,962,290.07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6,646,347.31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1.01874756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1.01825753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1.01890959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1.01858357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1.01890959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1.01874756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1.01825753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1.01890959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1.01858357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1.01890959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159,911,121.54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133,834,995.92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26,076,125.62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1,181,500.65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211,829,981.74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36.26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24.11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20,120,934.41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22恒丰银行永续债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18,942,454.60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23洛阳城投PPN004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18,645,350.79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GC融Y6A2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18,462,171.21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16,341,817.86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15,878,431.85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24江阴国联PPN001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15,121,133.01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23瑞海03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14,593,994.88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25海尔01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10,112,316.99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206,594,000.00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7,631,000.00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105,030,000.00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83,520,000.00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6,523,000.00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206,594,000.00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7,631,000.00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105,030,000.00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83,520,000.00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6,523,000.00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1602023929200326023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1E6976B2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2025-08-06T06:19:53Z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