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 xml:space="preserve">泉心盈105天7号 </w:t>
      </w:r>
    </w:p>
    <w:p>
      <w:pPr>
        <w:jc w:val="center"/>
        <w:rPr>
          <w:rFonts w:ascii="宋体" w:hAnsi="宋体"/>
          <w:b/>
          <w:bCs/>
          <w:sz w:val="48"/>
          <w:szCs w:val="30"/>
        </w:rPr>
      </w:pPr>
      <w:r>
        <w:rPr>
          <w:rFonts w:ascii="宋体" w:hAnsi="宋体"/>
          <w:b/>
          <w:bCs/>
          <w:sz w:val="48"/>
          <w:szCs w:val="30"/>
        </w:rPr>
        <w:t>2025年半年度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产品管理人：齐鲁银行股份有限公司</w:t>
      </w:r>
    </w:p>
    <w:p>
      <w:pPr>
        <w:ind w:firstLine="1687" w:firstLineChars="600"/>
        <w:jc w:val="left"/>
        <w:rPr>
          <w:rFonts w:ascii="宋体" w:hAnsi="宋体"/>
          <w:b/>
          <w:bCs/>
          <w:sz w:val="28"/>
          <w:szCs w:val="30"/>
        </w:rPr>
      </w:pPr>
      <w:r>
        <w:rPr>
          <w:rFonts w:ascii="宋体" w:hAnsi="宋体"/>
          <w:b/>
          <w:bCs/>
          <w:sz w:val="28"/>
          <w:szCs w:val="30"/>
        </w:rPr>
        <w:t>产品托管人：招商银行股份有限公司</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Cs/>
          <w:sz w:val="33"/>
          <w:szCs w:val="33"/>
        </w:rPr>
      </w:pPr>
      <w:r>
        <w:rPr>
          <w:rFonts w:hint="eastAsia" w:ascii="宋体" w:hAnsi="宋体"/>
          <w:bCs/>
          <w:sz w:val="33"/>
          <w:szCs w:val="33"/>
        </w:rPr>
        <w:t>1</w:t>
      </w:r>
      <w:r>
        <w:rPr>
          <w:rFonts w:ascii="宋体" w:hAnsi="宋体"/>
          <w:bCs/>
          <w:sz w:val="33"/>
          <w:szCs w:val="33"/>
        </w:rPr>
        <w:t xml:space="preserve"> </w:t>
      </w:r>
      <w:r>
        <w:rPr>
          <w:rFonts w:hint="eastAsia" w:ascii="宋体" w:hAnsi="宋体"/>
          <w:bCs/>
          <w:sz w:val="33"/>
          <w:szCs w:val="33"/>
        </w:rPr>
        <w:t>重要提示</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产品管理人的董事会及董事保证本报告所载资料不存在虚假记载、误导性陈述或重大遗漏，并对其内容的真实性、准确性和完整性承担个别及连带责任。</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产品管理人承诺以诚实信用、勤勉尽责的原则管理和运用产品资产，但不保证产品一定盈利。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产品的过往业绩并不代表其未来表现。投资有风险，投资者在作出投资决策前应仔细阅读本产品的产品说明书。</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本报告中财务资料未经审计。</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w:t>
      </w:r>
      <w:r>
        <w:rPr>
          <w:rFonts w:ascii="宋体" w:hAnsi="宋体" w:cs="宋体"/>
          <w:color w:val="000000"/>
          <w:sz w:val="24"/>
          <w:szCs w:val="24"/>
        </w:rPr>
        <w:t>报告期</w:t>
      </w:r>
      <w:r>
        <w:rPr>
          <w:rFonts w:hint="eastAsia" w:ascii="宋体" w:hAnsi="宋体" w:cs="宋体"/>
          <w:color w:val="000000"/>
          <w:sz w:val="24"/>
          <w:szCs w:val="24"/>
        </w:rPr>
        <w:t>自 2025-01-01</w:t>
      </w:r>
      <w:r>
        <w:rPr>
          <w:rFonts w:ascii="宋体" w:hAnsi="宋体" w:cs="宋体"/>
          <w:color w:val="000000"/>
          <w:sz w:val="24"/>
          <w:szCs w:val="24"/>
        </w:rPr>
        <w:t xml:space="preserve"> </w:t>
      </w:r>
      <w:r>
        <w:rPr>
          <w:rFonts w:hint="eastAsia" w:ascii="宋体" w:hAnsi="宋体" w:cs="宋体"/>
          <w:color w:val="000000"/>
          <w:sz w:val="24"/>
          <w:szCs w:val="24"/>
        </w:rPr>
        <w:t>起至 2025-06-30</w:t>
      </w:r>
      <w:r>
        <w:rPr>
          <w:rFonts w:ascii="宋体" w:hAnsi="宋体" w:cs="宋体"/>
          <w:color w:val="000000"/>
          <w:sz w:val="24"/>
          <w:szCs w:val="24"/>
        </w:rPr>
        <w:t xml:space="preserve"> 止。</w:t>
      </w:r>
    </w:p>
    <w:p>
      <w:pPr>
        <w:jc w:val="center"/>
        <w:rPr>
          <w:rFonts w:ascii="宋体" w:hAnsi="宋体"/>
          <w:bCs/>
          <w:sz w:val="33"/>
          <w:szCs w:val="33"/>
        </w:rPr>
      </w:pPr>
      <w:r>
        <w:rPr>
          <w:rFonts w:hint="eastAsia" w:ascii="宋体" w:hAnsi="宋体"/>
          <w:bCs/>
          <w:sz w:val="33"/>
          <w:szCs w:val="33"/>
        </w:rPr>
        <w:t>2</w:t>
      </w:r>
      <w:r>
        <w:rPr>
          <w:rFonts w:ascii="宋体" w:hAnsi="宋体"/>
          <w:bCs/>
          <w:sz w:val="33"/>
          <w:szCs w:val="33"/>
        </w:rPr>
        <w:t xml:space="preserve"> </w:t>
      </w:r>
      <w:r>
        <w:rPr>
          <w:rFonts w:hint="eastAsia" w:ascii="宋体" w:hAnsi="宋体"/>
          <w:bCs/>
          <w:sz w:val="33"/>
          <w:szCs w:val="33"/>
        </w:rPr>
        <w:t xml:space="preserve">产品概况 </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eastAsia="Times New Roman"/>
                <w:color w:val="000000"/>
                <w:sz w:val="24"/>
                <w:szCs w:val="24"/>
              </w:rPr>
            </w:pPr>
            <w:r>
              <w:rPr>
                <w:rFonts w:hint="eastAsia" w:ascii="宋体" w:hAnsi="宋体" w:cs="宋体"/>
                <w:color w:val="000000"/>
                <w:sz w:val="24"/>
                <w:szCs w:val="24"/>
              </w:rPr>
              <w:t>2.1 产品基本情况</w:t>
            </w:r>
          </w:p>
        </w:tc>
      </w:tr>
    </w:tbl>
    <w:p>
      <w:pPr>
        <w:rPr>
          <w:vanish/>
          <w:sz w:val="24"/>
          <w:szCs w:val="24"/>
        </w:rPr>
      </w:pPr>
    </w:p>
    <w:tbl>
      <w:tblPr>
        <w:tblStyle w:val="17"/>
        <w:tblW w:w="8980" w:type="dxa"/>
        <w:jc w:val="center"/>
        <w:tblLayout w:type="fixed"/>
        <w:tblCellMar>
          <w:top w:w="0" w:type="dxa"/>
          <w:left w:w="108" w:type="dxa"/>
          <w:bottom w:w="0" w:type="dxa"/>
          <w:right w:w="108" w:type="dxa"/>
        </w:tblCellMar>
      </w:tblPr>
      <w:tblGrid>
        <w:gridCol w:w="4497"/>
        <w:gridCol w:w="4483"/>
      </w:tblGrid>
      <w:tr>
        <w:tblPrEx>
          <w:tblCellMar>
            <w:top w:w="0" w:type="dxa"/>
            <w:left w:w="108" w:type="dxa"/>
            <w:bottom w:w="0" w:type="dxa"/>
            <w:right w:w="108" w:type="dxa"/>
          </w:tblCellMar>
        </w:tblPrEx>
        <w:trPr>
          <w:trHeight w:val="300" w:hRule="atLeast"/>
          <w:jc w:val="center"/>
        </w:trPr>
        <w:tc>
          <w:tcPr>
            <w:tcW w:w="4497"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产品中文商业全称</w:t>
            </w:r>
          </w:p>
        </w:tc>
        <w:tc>
          <w:tcPr>
            <w:tcW w:w="4483" w:type="dxa"/>
            <w:tcBorders>
              <w:top w:val="single" w:color="000000" w:sz="8" w:space="0"/>
              <w:left w:val="nil"/>
              <w:bottom w:val="single" w:color="000000" w:sz="8" w:space="0"/>
              <w:right w:val="single" w:color="000000" w:sz="8" w:space="0"/>
            </w:tcBorders>
            <w:tcMar>
              <w:top w:w="1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泉心盈105天7号</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产品登记编码</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C1088122000080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产品成立/起始日</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2022-11-17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报告期末产品份额总额（份）</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282,299,672.40 </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业绩比较基准（%）</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10507B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2.3/年</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10507A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2.2/年</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杠杆水平（%）</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ascii="宋体" w:hAnsi="宋体" w:cs="宋体"/>
                <w:color w:val="000000"/>
                <w:kern w:val="2"/>
              </w:rPr>
              <w:t>107.63</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销售手续费率（%）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10507B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0.2</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10507A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0.3</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托管费率（%）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0.005</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固定管理费率（%）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0.2</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其他费率（%）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业绩报酬（元）</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257,150.00</w:t>
            </w:r>
          </w:p>
        </w:tc>
      </w:tr>
    </w:tbl>
    <w:p>
      <w:pPr>
        <w:ind w:firstLine="400"/>
        <w:jc w:val="center"/>
        <w:rPr>
          <w:rFonts w:eastAsia="Times New Roman"/>
        </w:rPr>
      </w:pPr>
      <w:r>
        <w:rPr>
          <w:rFonts w:eastAsia="Times New Roman"/>
        </w:rPr>
        <w:t> </w:t>
      </w:r>
    </w:p>
    <w:p>
      <w:pPr>
        <w:jc w:val="center"/>
        <w:rPr>
          <w:rFonts w:ascii="宋体" w:hAnsi="宋体"/>
          <w:bCs/>
          <w:sz w:val="33"/>
          <w:szCs w:val="33"/>
        </w:rPr>
      </w:pPr>
      <w:r>
        <w:rPr>
          <w:rFonts w:hint="eastAsia" w:ascii="宋体" w:hAnsi="宋体"/>
          <w:bCs/>
          <w:sz w:val="33"/>
          <w:szCs w:val="33"/>
        </w:rPr>
        <w:t>3</w:t>
      </w:r>
      <w:r>
        <w:rPr>
          <w:rFonts w:ascii="宋体" w:hAnsi="宋体"/>
          <w:bCs/>
          <w:sz w:val="33"/>
          <w:szCs w:val="33"/>
        </w:rPr>
        <w:t xml:space="preserve"> </w:t>
      </w:r>
      <w:r>
        <w:rPr>
          <w:rFonts w:hint="eastAsia" w:ascii="宋体" w:hAnsi="宋体"/>
          <w:bCs/>
          <w:sz w:val="33"/>
          <w:szCs w:val="33"/>
        </w:rPr>
        <w:t>主要财务指标和产品净值表现</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ascii="宋体" w:hAnsi="宋体"/>
                <w:color w:val="000000"/>
                <w:sz w:val="24"/>
                <w:szCs w:val="24"/>
              </w:rPr>
            </w:pPr>
            <w:r>
              <w:rPr>
                <w:rFonts w:hint="eastAsia" w:ascii="宋体" w:hAnsi="宋体" w:cs="宋体"/>
                <w:color w:val="000000"/>
                <w:sz w:val="24"/>
                <w:szCs w:val="24"/>
              </w:rPr>
              <w:t>3.1 主要财务指标</w:t>
            </w:r>
          </w:p>
        </w:tc>
      </w:tr>
    </w:tbl>
    <w:p>
      <w:pPr>
        <w:rPr>
          <w:rFonts w:ascii="宋体" w:hAnsi="宋体"/>
          <w:vanish/>
          <w:sz w:val="24"/>
          <w:szCs w:val="24"/>
        </w:rPr>
      </w:pP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rHeight w:val="150" w:hRule="atLeast"/>
          <w:tblCellSpacing w:w="8" w:type="dxa"/>
          <w:jc w:val="center"/>
        </w:trPr>
        <w:tc>
          <w:tcPr>
            <w:tcW w:w="8968" w:type="dxa"/>
            <w:tcMar>
              <w:top w:w="15" w:type="dxa"/>
              <w:left w:w="15" w:type="dxa"/>
              <w:bottom w:w="15" w:type="dxa"/>
              <w:right w:w="15" w:type="dxa"/>
            </w:tcMar>
            <w:vAlign w:val="center"/>
          </w:tcPr>
          <w:p>
            <w:pPr>
              <w:pStyle w:val="51"/>
              <w:jc w:val="right"/>
              <w:rPr>
                <w:rFonts w:ascii="宋体" w:hAnsi="宋体"/>
                <w:color w:val="000000"/>
              </w:rPr>
            </w:pPr>
            <w:r>
              <w:rPr>
                <w:rFonts w:hint="eastAsia" w:ascii="宋体" w:hAnsi="宋体" w:cs="宋体"/>
                <w:color w:val="000000"/>
                <w:kern w:val="2"/>
              </w:rPr>
              <w:t>单位：元、元/份</w:t>
            </w:r>
          </w:p>
        </w:tc>
      </w:tr>
    </w:tbl>
    <w:p>
      <w:pPr>
        <w:rPr>
          <w:rFonts w:ascii="宋体" w:hAnsi="宋体"/>
          <w:vanish/>
          <w:sz w:val="24"/>
          <w:szCs w:val="24"/>
        </w:rPr>
      </w:pPr>
    </w:p>
    <w:tbl>
      <w:tblPr>
        <w:tblStyle w:val="17"/>
        <w:tblW w:w="9152" w:type="dxa"/>
        <w:jc w:val="center"/>
        <w:tblLayout w:type="fixed"/>
        <w:tblCellMar>
          <w:top w:w="0" w:type="dxa"/>
          <w:left w:w="108" w:type="dxa"/>
          <w:bottom w:w="0" w:type="dxa"/>
          <w:right w:w="108" w:type="dxa"/>
        </w:tblCellMar>
      </w:tblPr>
      <w:tblGrid>
        <w:gridCol w:w="4581"/>
        <w:gridCol w:w="4571"/>
      </w:tblGrid>
      <w:tr>
        <w:tblPrEx>
          <w:tblCellMar>
            <w:top w:w="0" w:type="dxa"/>
            <w:left w:w="108" w:type="dxa"/>
            <w:bottom w:w="0" w:type="dxa"/>
            <w:right w:w="108" w:type="dxa"/>
          </w:tblCellMar>
        </w:tblPrEx>
        <w:trPr>
          <w:trHeight w:val="850" w:hRule="atLeast"/>
          <w:jc w:val="center"/>
        </w:trPr>
        <w:tc>
          <w:tcPr>
            <w:tcW w:w="4581"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vAlign w:val="center"/>
          </w:tcPr>
          <w:p>
            <w:pPr>
              <w:pStyle w:val="52"/>
              <w:spacing w:line="400" w:lineRule="atLeast"/>
              <w:rPr>
                <w:rFonts w:ascii="宋体" w:hAnsi="宋体" w:cs="宋体"/>
                <w:color w:val="000000"/>
                <w:kern w:val="2"/>
              </w:rPr>
            </w:pPr>
            <w:r>
              <w:rPr>
                <w:rFonts w:hint="eastAsia" w:ascii="宋体" w:hAnsi="宋体" w:cs="宋体"/>
                <w:color w:val="000000"/>
                <w:kern w:val="2"/>
              </w:rPr>
              <w:t>主要财务指标</w:t>
            </w:r>
          </w:p>
        </w:tc>
        <w:tc>
          <w:tcPr>
            <w:tcW w:w="4571" w:type="dxa"/>
            <w:tcBorders>
              <w:top w:val="single" w:color="000000" w:sz="8" w:space="0"/>
              <w:left w:val="nil"/>
              <w:bottom w:val="single" w:color="000000" w:sz="8" w:space="0"/>
              <w:right w:val="single" w:color="000000" w:sz="8" w:space="0"/>
            </w:tcBorders>
            <w:tcMar>
              <w:top w:w="10" w:type="dxa"/>
              <w:left w:w="108" w:type="dxa"/>
              <w:bottom w:w="10" w:type="dxa"/>
              <w:right w:w="118" w:type="dxa"/>
            </w:tcMar>
            <w:vAlign w:val="center"/>
          </w:tcPr>
          <w:p>
            <w:pPr>
              <w:pStyle w:val="51"/>
              <w:spacing w:line="400" w:lineRule="atLeast"/>
              <w:rPr>
                <w:rFonts w:ascii="宋体" w:hAnsi="宋体" w:cs="宋体"/>
                <w:color w:val="000000"/>
                <w:kern w:val="2"/>
              </w:rPr>
            </w:pPr>
            <w:r>
              <w:rPr>
                <w:rFonts w:hint="eastAsia" w:ascii="宋体" w:hAnsi="宋体" w:cs="宋体"/>
                <w:color w:val="000000"/>
                <w:kern w:val="2"/>
              </w:rPr>
              <w:t>2025-01-01</w:t>
            </w:r>
            <w:r>
              <w:rPr>
                <w:rFonts w:ascii="宋体" w:hAnsi="宋体" w:cs="宋体"/>
                <w:color w:val="000000"/>
                <w:kern w:val="2"/>
              </w:rPr>
              <w:t xml:space="preserve">  </w:t>
            </w:r>
            <w:r>
              <w:rPr>
                <w:rFonts w:hint="eastAsia" w:ascii="宋体" w:hAnsi="宋体" w:cs="宋体"/>
                <w:color w:val="000000"/>
                <w:kern w:val="2"/>
              </w:rPr>
              <w:t>至</w:t>
            </w:r>
            <w:r>
              <w:rPr>
                <w:rFonts w:ascii="宋体" w:hAnsi="宋体" w:cs="宋体"/>
                <w:color w:val="000000"/>
                <w:kern w:val="2"/>
              </w:rPr>
              <w:t xml:space="preserve"> </w:t>
            </w:r>
            <w:r>
              <w:rPr>
                <w:rFonts w:hint="eastAsia" w:ascii="宋体" w:hAnsi="宋体" w:cs="宋体"/>
                <w:color w:val="000000"/>
                <w:kern w:val="2"/>
              </w:rPr>
              <w:t xml:space="preserve"> 2025-06-30</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1.期末产品资产净值</w:t>
            </w:r>
          </w:p>
        </w:tc>
        <w:tc>
          <w:tcPr>
            <w:tcW w:w="4571" w:type="dxa"/>
            <w:tcBorders>
              <w:top w:val="nil"/>
              <w:left w:val="nil"/>
              <w:bottom w:val="single" w:color="auto" w:sz="4" w:space="0"/>
              <w:right w:val="single" w:color="000000" w:sz="8"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306,839,046.74</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10507A</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129,921,222.68</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10507B</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176,917,824.06</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2.期末产品份额净值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1.08692668</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10507A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1.08529446</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10507B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1.08812844</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3.期末产品份额累计净值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1.08692668</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10507A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1.08529446</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10507B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1.08812844</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hint="default" w:ascii="宋体" w:hAnsi="宋体" w:eastAsia="宋体" w:cs="宋体"/>
                <w:color w:val="000000"/>
                <w:kern w:val="2"/>
                <w:lang w:val="en-US" w:eastAsia="zh-CN"/>
              </w:rPr>
            </w:pPr>
            <w:r>
              <w:rPr>
                <w:rFonts w:hint="eastAsia" w:ascii="宋体" w:hAnsi="宋体" w:cs="宋体"/>
                <w:color w:val="000000"/>
                <w:kern w:val="2"/>
              </w:rPr>
              <w:t>4.本报告期累计净值增长率</w:t>
            </w:r>
            <w:r>
              <w:rPr>
                <w:rFonts w:hint="eastAsia" w:ascii="宋体" w:hAnsi="宋体" w:cs="宋体"/>
                <w:color w:val="000000"/>
                <w:kern w:val="2"/>
                <w:lang w:eastAsia="zh-CN"/>
              </w:rPr>
              <w:t>（</w:t>
            </w:r>
            <w:r>
              <w:rPr>
                <w:rFonts w:hint="eastAsia" w:ascii="宋体" w:hAnsi="宋体" w:cs="宋体"/>
                <w:color w:val="000000"/>
                <w:kern w:val="2"/>
                <w:lang w:val="en-US" w:eastAsia="zh-CN"/>
              </w:rPr>
              <w:t>%）</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1.28</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其中： 10507A（%）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1.26</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10507B（%）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1.31</w:t>
            </w:r>
          </w:p>
        </w:tc>
      </w:tr>
    </w:tbl>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注：除产品合同和说明书另有规定外，期末产品份额净值、期末产品份额累计净值按截位法保留至小数点后第8</w:t>
      </w:r>
      <w:r>
        <w:rPr>
          <w:rFonts w:hint="eastAsia" w:ascii="宋体" w:hAnsi="宋体" w:cs="宋体"/>
          <w:color w:val="000000"/>
          <w:sz w:val="24"/>
          <w:szCs w:val="24"/>
        </w:rPr>
        <w:t>位，其他财务指标保留至小数点后第2位。</w:t>
      </w:r>
    </w:p>
    <w:p>
      <w:pPr>
        <w:ind w:firstLine="400"/>
        <w:jc w:val="center"/>
        <w:rPr>
          <w:rFonts w:eastAsiaTheme="minorEastAsia"/>
        </w:rPr>
      </w:pPr>
    </w:p>
    <w:p>
      <w:pPr>
        <w:jc w:val="center"/>
        <w:rPr>
          <w:rFonts w:ascii="宋体" w:hAnsi="宋体"/>
          <w:bCs/>
          <w:sz w:val="33"/>
          <w:szCs w:val="33"/>
        </w:rPr>
      </w:pPr>
      <w:r>
        <w:rPr>
          <w:rFonts w:hint="eastAsia" w:ascii="宋体" w:hAnsi="宋体"/>
          <w:bCs/>
          <w:sz w:val="33"/>
          <w:szCs w:val="33"/>
        </w:rPr>
        <w:t>4</w:t>
      </w:r>
      <w:r>
        <w:rPr>
          <w:rFonts w:ascii="宋体" w:hAnsi="宋体"/>
          <w:bCs/>
          <w:sz w:val="33"/>
          <w:szCs w:val="33"/>
        </w:rPr>
        <w:t xml:space="preserve"> </w:t>
      </w:r>
      <w:r>
        <w:rPr>
          <w:rFonts w:hint="eastAsia" w:ascii="宋体" w:hAnsi="宋体"/>
          <w:bCs/>
          <w:sz w:val="33"/>
          <w:szCs w:val="33"/>
        </w:rPr>
        <w:t>投资组合报告</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spacing w:line="360" w:lineRule="auto"/>
        <w:jc w:val="left"/>
        <w:rPr>
          <w:rFonts w:ascii="宋体" w:hAnsi="宋体" w:cs="宋体"/>
          <w:color w:val="000000"/>
          <w:sz w:val="24"/>
          <w:szCs w:val="24"/>
        </w:rPr>
      </w:pPr>
      <w:r>
        <w:rPr>
          <w:rFonts w:ascii="宋体" w:hAnsi="宋体" w:cs="宋体"/>
          <w:color w:val="000000"/>
          <w:sz w:val="24"/>
          <w:szCs w:val="24"/>
        </w:rPr>
        <w:t>4.1 管理人对报告期内投资组合的投资策略说明</w:t>
      </w:r>
    </w:p>
    <w:p>
      <w:pPr>
        <w:spacing w:line="360" w:lineRule="auto"/>
        <w:jc w:val="left"/>
        <w:rPr>
          <w:rFonts w:ascii="宋体" w:hAnsi="宋体" w:cs="宋体"/>
          <w:color w:val="000000"/>
          <w:sz w:val="24"/>
          <w:szCs w:val="24"/>
        </w:rPr>
      </w:pPr>
      <w:r>
        <w:rPr>
          <w:rFonts w:ascii="宋体" w:hAnsi="宋体" w:cs="宋体"/>
          <w:color w:val="000000"/>
          <w:sz w:val="24"/>
          <w:szCs w:val="24"/>
        </w:rPr>
        <w:t>4.1.1 投资组合的投资策略和运作分析</w:t>
      </w:r>
    </w:p>
    <w:p>
      <w:pPr>
        <w:spacing w:line="360" w:lineRule="auto"/>
        <w:ind w:firstLine="480" w:firstLineChars="200"/>
        <w:jc w:val="left"/>
        <w:rPr>
          <w:rFonts w:ascii="宋体" w:hAnsi="宋体" w:cs="宋体"/>
          <w:color w:val="000000"/>
          <w:sz w:val="24"/>
          <w:szCs w:val="24"/>
        </w:rPr>
      </w:pPr>
      <w:r>
        <w:rPr>
          <w:rFonts w:hint="eastAsia" w:ascii="宋体" w:hAnsi="宋体" w:cs="宋体"/>
          <w:color w:val="000000"/>
          <w:sz w:val="24"/>
          <w:szCs w:val="24"/>
        </w:rPr>
        <w:t>上半年，债券市场收益率先上后下。宏观经济层面，总体延续2024年四季度以来的经济恢复态势，但地产投资仍是主要拖累；期间外部受到中美贸易摩擦影响，出口面临一定压力。结构上，生产好于需求，通胀数据依然偏弱，内部有效需求不足的矛盾依然突出。货币政策层面，一季度，经济企稳背景下，央行政策转向“稳汇率、防空转和防利率风险”，并持续收紧流动性，债券收益率顺势上行；二季度，央行呵护态度明确，5月降准、降息、结构性降息集中落地，6月央行流动性投放积极，流动性宽松延续，债市收益率延续震荡下行趋势。</w:t>
      </w:r>
    </w:p>
    <w:p>
      <w:pPr>
        <w:spacing w:line="360" w:lineRule="auto"/>
        <w:ind w:firstLine="480" w:firstLineChars="200"/>
        <w:jc w:val="left"/>
        <w:rPr>
          <w:rFonts w:ascii="宋体" w:hAnsi="宋体" w:cs="宋体"/>
          <w:color w:val="000000"/>
          <w:sz w:val="24"/>
          <w:szCs w:val="24"/>
        </w:rPr>
      </w:pPr>
      <w:r>
        <w:rPr>
          <w:rFonts w:hint="eastAsia" w:ascii="宋体" w:hAnsi="宋体" w:cs="宋体"/>
          <w:color w:val="000000"/>
          <w:sz w:val="24"/>
          <w:szCs w:val="24"/>
        </w:rPr>
        <w:t>开放式产品组合底仓以中高等级信用债为主，严控信用风险，辅助中长期利率债波段交易，在平衡风险和收益的基础上，通过波段交易，增厚组合收益。上半年，组合保持中性久期水平，灵活调整组合期限结构和品种结构，力求在控制风险的基础上为客户提供更高的投资收益。</w:t>
      </w:r>
    </w:p>
    <w:p>
      <w:pPr>
        <w:spacing w:line="360" w:lineRule="auto"/>
        <w:jc w:val="left"/>
        <w:rPr>
          <w:rFonts w:ascii="宋体" w:hAnsi="宋体" w:cs="宋体"/>
          <w:color w:val="000000"/>
          <w:sz w:val="24"/>
          <w:szCs w:val="24"/>
        </w:rPr>
      </w:pPr>
      <w:r>
        <w:rPr>
          <w:rFonts w:ascii="宋体" w:hAnsi="宋体" w:cs="宋体"/>
          <w:color w:val="000000"/>
          <w:sz w:val="24"/>
          <w:szCs w:val="24"/>
        </w:rPr>
        <w:t>4.1.2 投资组合的流动性风险分析</w:t>
      </w:r>
    </w:p>
    <w:p>
      <w:pPr>
        <w:spacing w:line="360" w:lineRule="auto"/>
        <w:ind w:firstLine="480" w:firstLineChars="200"/>
        <w:jc w:val="left"/>
        <w:rPr>
          <w:rFonts w:ascii="宋体" w:hAnsi="宋体" w:cs="宋体"/>
          <w:color w:val="000000"/>
          <w:sz w:val="24"/>
          <w:szCs w:val="24"/>
        </w:rPr>
      </w:pPr>
      <w:r>
        <w:rPr>
          <w:rFonts w:ascii="宋体" w:hAnsi="宋体" w:cs="宋体"/>
          <w:color w:val="000000"/>
          <w:sz w:val="24"/>
          <w:szCs w:val="24"/>
        </w:rPr>
        <w:t>本产品投资方向为固收类资产，本行审慎对国内外宏观经济形势、市场利率走势及债券市场资金供求情况综合分析，预测债券市场利率走势，结合流动性预判及各类流动性管理措施，并对各投资品种收益率、波动性、各类风险进行在控制风险的前提下，积极构建及调整投资组合，力争合理的流动性安排。</w:t>
      </w:r>
    </w:p>
    <w:p>
      <w:pPr>
        <w:spacing w:line="360" w:lineRule="auto"/>
        <w:ind w:firstLine="480" w:firstLineChars="200"/>
        <w:jc w:val="left"/>
        <w:rPr>
          <w:rFonts w:ascii="宋体" w:hAnsi="宋体" w:cs="宋体"/>
          <w:color w:val="000000"/>
          <w:sz w:val="24"/>
          <w:szCs w:val="24"/>
        </w:rPr>
      </w:pPr>
      <w:bookmarkStart w:id="2" w:name="_GoBack"/>
      <w:bookmarkEnd w:id="2"/>
    </w:p>
    <w:p>
      <w:pPr>
        <w:jc w:val="left"/>
        <w:rPr>
          <w:rFonts w:ascii="宋体" w:hAnsi="宋体" w:cs="宋体"/>
          <w:color w:val="000000"/>
          <w:sz w:val="24"/>
          <w:szCs w:val="24"/>
        </w:rPr>
      </w:pPr>
      <w:r>
        <w:rPr>
          <w:rFonts w:hint="eastAsia" w:ascii="宋体" w:hAnsi="宋体" w:cs="宋体"/>
          <w:color w:val="000000"/>
          <w:sz w:val="24"/>
          <w:szCs w:val="24"/>
        </w:rPr>
        <w:t>4.2 报告期末资产情况</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1447"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项目</w:t>
            </w:r>
          </w:p>
        </w:tc>
        <w:tc>
          <w:tcPr>
            <w:tcW w:w="3446" w:type="dxa"/>
            <w:gridSpan w:val="2"/>
            <w:shd w:val="clear" w:color="auto" w:fill="D9D9D9"/>
            <w:vAlign w:val="center"/>
          </w:tcPr>
          <w:p>
            <w:pPr>
              <w:jc w:val="center"/>
              <w:rPr>
                <w:rFonts w:ascii="宋体" w:hAnsi="宋体"/>
                <w:b/>
                <w:sz w:val="24"/>
                <w:szCs w:val="24"/>
              </w:rPr>
            </w:pPr>
            <w:r>
              <w:rPr>
                <w:rFonts w:hint="eastAsia" w:ascii="宋体" w:hAnsi="宋体"/>
                <w:b/>
                <w:sz w:val="24"/>
                <w:szCs w:val="24"/>
              </w:rPr>
              <w:t>直接</w:t>
            </w:r>
            <w:r>
              <w:rPr>
                <w:rFonts w:ascii="宋体" w:hAnsi="宋体"/>
                <w:b/>
                <w:sz w:val="24"/>
                <w:szCs w:val="24"/>
              </w:rPr>
              <w:t>投资</w:t>
            </w:r>
          </w:p>
        </w:tc>
        <w:tc>
          <w:tcPr>
            <w:tcW w:w="3358" w:type="dxa"/>
            <w:gridSpan w:val="2"/>
            <w:shd w:val="clear" w:color="auto" w:fill="D9D9D9"/>
            <w:vAlign w:val="center"/>
          </w:tcPr>
          <w:p>
            <w:pPr>
              <w:jc w:val="center"/>
              <w:rPr>
                <w:rFonts w:ascii="宋体" w:hAnsi="宋体"/>
                <w:b/>
                <w:sz w:val="24"/>
                <w:szCs w:val="24"/>
              </w:rPr>
            </w:pPr>
            <w:r>
              <w:rPr>
                <w:rFonts w:hint="eastAsia" w:ascii="宋体" w:hAnsi="宋体"/>
                <w:b/>
                <w:sz w:val="24"/>
                <w:szCs w:val="24"/>
              </w:rPr>
              <w:t>间接</w:t>
            </w:r>
            <w:r>
              <w:rPr>
                <w:rFonts w:ascii="宋体" w:hAnsi="宋体"/>
                <w:b/>
                <w:sz w:val="24"/>
                <w:szCs w:val="24"/>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 w:val="24"/>
                <w:szCs w:val="24"/>
              </w:rPr>
            </w:pPr>
          </w:p>
        </w:tc>
        <w:tc>
          <w:tcPr>
            <w:tcW w:w="1447" w:type="dxa"/>
            <w:vMerge w:val="continue"/>
            <w:shd w:val="clear" w:color="auto" w:fill="D9D9D9"/>
            <w:vAlign w:val="center"/>
          </w:tcPr>
          <w:p>
            <w:pPr>
              <w:jc w:val="center"/>
              <w:rPr>
                <w:rFonts w:ascii="宋体" w:hAnsi="宋体"/>
                <w:b/>
                <w:sz w:val="24"/>
                <w:szCs w:val="24"/>
              </w:rPr>
            </w:pPr>
          </w:p>
        </w:tc>
        <w:tc>
          <w:tcPr>
            <w:tcW w:w="1697"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49" w:type="dxa"/>
            <w:shd w:val="clear" w:color="auto" w:fill="D9D9D9"/>
            <w:vAlign w:val="center"/>
          </w:tcPr>
          <w:p>
            <w:pPr>
              <w:jc w:val="center"/>
              <w:rPr>
                <w:rFonts w:ascii="宋体" w:hAnsi="宋体"/>
                <w:b/>
                <w:sz w:val="24"/>
                <w:szCs w:val="24"/>
              </w:rPr>
            </w:pPr>
            <w:r>
              <w:rPr>
                <w:rFonts w:hint="eastAsia" w:ascii="宋体" w:hAnsi="宋体"/>
                <w:b/>
                <w:sz w:val="24"/>
                <w:szCs w:val="24"/>
              </w:rPr>
              <w:t>占产品总资产的比例（%）</w:t>
            </w:r>
          </w:p>
        </w:tc>
        <w:tc>
          <w:tcPr>
            <w:tcW w:w="1653"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05" w:type="dxa"/>
            <w:shd w:val="clear" w:color="auto" w:fill="D9D9D9"/>
          </w:tcPr>
          <w:p>
            <w:pPr>
              <w:jc w:val="center"/>
              <w:rPr>
                <w:rFonts w:ascii="宋体" w:hAnsi="宋体"/>
                <w:b/>
                <w:sz w:val="24"/>
                <w:szCs w:val="24"/>
              </w:rPr>
            </w:pPr>
            <w:r>
              <w:rPr>
                <w:rFonts w:hint="eastAsia" w:ascii="宋体" w:hAnsi="宋体"/>
                <w:b/>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权益投资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其中：普通股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存托凭证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基金投资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固定收益投资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325,352,354.42</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98.52</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其中：债券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295,322,743.57</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89.43</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资产支持证券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30,029,610.85</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9.09</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金融衍生品投资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其中：远期</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期货</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期权</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权证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其中：买断式回购的买入返售金融资产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货币市场工具</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银行存款和结算备付金合计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4,883,727.23</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1.48</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拆放同业</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资管</w:t>
            </w:r>
            <w:r>
              <w:rPr>
                <w:rFonts w:ascii="宋体" w:hAnsi="宋体" w:cs="宋体"/>
                <w:color w:val="000000"/>
                <w:sz w:val="24"/>
                <w:szCs w:val="24"/>
              </w:rPr>
              <w:t>产品</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ascii="宋体" w:hAnsi="宋体" w:cs="宋体"/>
                <w:color w:val="000000"/>
                <w:sz w:val="24"/>
                <w:szCs w:val="24"/>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其他资产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1,032.52</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cs="宋体"/>
                <w:color w:val="000000"/>
                <w:sz w:val="24"/>
                <w:szCs w:val="24"/>
              </w:rPr>
            </w:pPr>
          </w:p>
        </w:tc>
        <w:tc>
          <w:tcPr>
            <w:tcW w:w="1447" w:type="dxa"/>
            <w:shd w:val="clear" w:color="auto" w:fill="auto"/>
          </w:tcPr>
          <w:p>
            <w:pPr>
              <w:jc w:val="left"/>
              <w:rPr>
                <w:rFonts w:ascii="宋体" w:hAnsi="宋体" w:cs="宋体"/>
                <w:color w:val="000000"/>
                <w:sz w:val="24"/>
                <w:szCs w:val="24"/>
              </w:rPr>
            </w:pPr>
            <w:r>
              <w:rPr>
                <w:rFonts w:hint="eastAsia" w:ascii="宋体" w:hAnsi="宋体" w:cs="宋体"/>
                <w:color w:val="000000"/>
                <w:sz w:val="24"/>
                <w:szCs w:val="24"/>
              </w:rPr>
              <w:t>合计</w:t>
            </w:r>
          </w:p>
        </w:tc>
        <w:tc>
          <w:tcPr>
            <w:tcW w:w="1697" w:type="dxa"/>
            <w:shd w:val="clear" w:color="auto" w:fill="auto"/>
          </w:tcPr>
          <w:p>
            <w:pPr>
              <w:jc w:val="right"/>
              <w:rPr>
                <w:rFonts w:ascii="宋体" w:hAnsi="宋体" w:cs="宋体"/>
                <w:color w:val="000000"/>
                <w:sz w:val="24"/>
                <w:szCs w:val="24"/>
              </w:rPr>
            </w:pPr>
            <w:r>
              <w:rPr>
                <w:rFonts w:ascii="宋体" w:hAnsi="宋体" w:cs="宋体"/>
                <w:color w:val="000000"/>
                <w:sz w:val="24"/>
                <w:szCs w:val="24"/>
              </w:rPr>
              <w:t>330,237,114.17</w:t>
            </w:r>
          </w:p>
        </w:tc>
        <w:tc>
          <w:tcPr>
            <w:tcW w:w="1749" w:type="dxa"/>
            <w:shd w:val="clear" w:color="auto" w:fill="auto"/>
          </w:tcPr>
          <w:p>
            <w:pPr>
              <w:jc w:val="right"/>
              <w:rPr>
                <w:rFonts w:ascii="宋体" w:hAnsi="宋体" w:cs="宋体"/>
                <w:color w:val="000000"/>
                <w:sz w:val="24"/>
                <w:szCs w:val="24"/>
              </w:rPr>
            </w:pPr>
            <w:r>
              <w:rPr>
                <w:rFonts w:ascii="宋体" w:hAnsi="宋体" w:cs="宋体"/>
                <w:color w:val="000000"/>
                <w:sz w:val="24"/>
                <w:szCs w:val="24"/>
              </w:rPr>
              <w:t>100.00</w:t>
            </w:r>
          </w:p>
        </w:tc>
        <w:tc>
          <w:tcPr>
            <w:tcW w:w="1653" w:type="dxa"/>
          </w:tcPr>
          <w:p>
            <w:pPr>
              <w:jc w:val="right"/>
              <w:rPr>
                <w:rFonts w:ascii="宋体" w:hAnsi="宋体" w:cs="宋体"/>
                <w:color w:val="000000"/>
                <w:sz w:val="24"/>
                <w:szCs w:val="24"/>
              </w:rPr>
            </w:pPr>
            <w:r>
              <w:rPr>
                <w:rFonts w:ascii="宋体" w:hAnsi="宋体" w:cs="宋体"/>
                <w:color w:val="000000"/>
                <w:sz w:val="24"/>
                <w:szCs w:val="24"/>
              </w:rPr>
              <w:t>0.00</w:t>
            </w:r>
          </w:p>
        </w:tc>
        <w:tc>
          <w:tcPr>
            <w:tcW w:w="1705" w:type="dxa"/>
          </w:tcPr>
          <w:p>
            <w:pPr>
              <w:jc w:val="right"/>
              <w:rPr>
                <w:rFonts w:ascii="宋体" w:hAnsi="宋体" w:cs="宋体"/>
                <w:color w:val="000000"/>
                <w:sz w:val="24"/>
                <w:szCs w:val="24"/>
              </w:rPr>
            </w:pPr>
            <w:r>
              <w:rPr>
                <w:rFonts w:ascii="宋体" w:hAnsi="宋体" w:cs="宋体"/>
                <w:color w:val="000000"/>
                <w:sz w:val="24"/>
                <w:szCs w:val="24"/>
              </w:rPr>
              <w:t>0.00</w:t>
            </w:r>
          </w:p>
        </w:tc>
      </w:tr>
    </w:tbl>
    <w:p>
      <w:pPr>
        <w:ind w:left="420" w:leftChars="200"/>
        <w:jc w:val="left"/>
        <w:rPr>
          <w:rFonts w:ascii="宋体" w:hAnsi="宋体"/>
          <w:sz w:val="24"/>
        </w:rPr>
      </w:pPr>
    </w:p>
    <w:p>
      <w:pPr>
        <w:spacing w:line="360" w:lineRule="auto"/>
        <w:ind w:right="-107" w:rightChars="-51" w:firstLine="420"/>
        <w:jc w:val="left"/>
        <w:rPr>
          <w:rFonts w:ascii="宋体" w:hAnsi="宋体" w:cs="宋体"/>
          <w:color w:val="000000"/>
          <w:sz w:val="24"/>
          <w:szCs w:val="24"/>
        </w:rPr>
      </w:pPr>
    </w:p>
    <w:p>
      <w:pPr>
        <w:ind w:left="420" w:leftChars="200"/>
        <w:jc w:val="left"/>
        <w:rPr>
          <w:rFonts w:asciiTheme="minorEastAsia" w:hAnsiTheme="minorEastAsia" w:eastAsiaTheme="minorEastAsia"/>
          <w:szCs w:val="21"/>
        </w:rPr>
      </w:pPr>
    </w:p>
    <w:p>
      <w:pPr>
        <w:jc w:val="left"/>
        <w:rPr>
          <w:rFonts w:ascii="宋体" w:hAnsi="宋体" w:cs="宋体"/>
          <w:color w:val="000000"/>
          <w:sz w:val="24"/>
          <w:szCs w:val="24"/>
        </w:rPr>
      </w:pPr>
      <w:r>
        <w:rPr>
          <w:rFonts w:hint="eastAsia" w:ascii="宋体" w:hAnsi="宋体" w:cs="宋体"/>
          <w:color w:val="000000"/>
          <w:sz w:val="24"/>
          <w:szCs w:val="24"/>
        </w:rPr>
        <w:t>4.3 报告期末投资前十名资产明细</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3159" w:type="dxa"/>
            <w:shd w:val="clear" w:color="auto" w:fill="D9D9D9"/>
            <w:vAlign w:val="center"/>
          </w:tcPr>
          <w:p>
            <w:pPr>
              <w:jc w:val="left"/>
              <w:rPr>
                <w:rFonts w:ascii="宋体" w:hAnsi="宋体"/>
                <w:b/>
                <w:sz w:val="24"/>
                <w:szCs w:val="24"/>
              </w:rPr>
            </w:pPr>
            <w:r>
              <w:rPr>
                <w:rFonts w:hint="eastAsia" w:ascii="宋体" w:hAnsi="宋体"/>
                <w:b/>
                <w:sz w:val="24"/>
                <w:szCs w:val="24"/>
              </w:rPr>
              <w:t>资产名称</w:t>
            </w:r>
          </w:p>
        </w:tc>
        <w:tc>
          <w:tcPr>
            <w:tcW w:w="2693" w:type="dxa"/>
            <w:shd w:val="clear" w:color="auto" w:fill="D9D9D9"/>
            <w:vAlign w:val="center"/>
          </w:tcPr>
          <w:p>
            <w:pPr>
              <w:jc w:val="left"/>
              <w:rPr>
                <w:rFonts w:ascii="宋体" w:hAnsi="宋体"/>
                <w:b/>
                <w:sz w:val="24"/>
                <w:szCs w:val="24"/>
              </w:rPr>
            </w:pPr>
            <w:r>
              <w:rPr>
                <w:rFonts w:hint="eastAsia" w:ascii="宋体" w:hAnsi="宋体"/>
                <w:b/>
                <w:sz w:val="24"/>
                <w:szCs w:val="24"/>
              </w:rPr>
              <w:t>金额</w:t>
            </w:r>
          </w:p>
        </w:tc>
        <w:tc>
          <w:tcPr>
            <w:tcW w:w="2431" w:type="dxa"/>
            <w:shd w:val="clear" w:color="auto" w:fill="D9D9D9"/>
            <w:vAlign w:val="center"/>
          </w:tcPr>
          <w:p>
            <w:pPr>
              <w:jc w:val="left"/>
              <w:rPr>
                <w:rFonts w:ascii="宋体" w:hAnsi="宋体"/>
                <w:b/>
                <w:sz w:val="24"/>
                <w:szCs w:val="24"/>
              </w:rPr>
            </w:pPr>
            <w:r>
              <w:rPr>
                <w:rFonts w:hint="eastAsia" w:ascii="宋体" w:hAnsi="宋体"/>
                <w:b/>
                <w:sz w:val="24"/>
                <w:szCs w:val="24"/>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rFonts w:ascii="宋体" w:hAnsi="宋体" w:cs="宋体"/>
                <w:color w:val="000000"/>
                <w:sz w:val="24"/>
                <w:szCs w:val="24"/>
              </w:rPr>
            </w:pPr>
            <w:r>
              <w:rPr>
                <w:rFonts w:hint="eastAsia" w:ascii="宋体" w:hAnsi="宋体" w:cs="宋体"/>
                <w:color w:val="000000"/>
                <w:sz w:val="24"/>
                <w:szCs w:val="24"/>
              </w:rPr>
              <w:t>1</w:t>
            </w:r>
          </w:p>
        </w:tc>
        <w:tc>
          <w:tcPr>
            <w:tcW w:w="3159" w:type="dxa"/>
            <w:shd w:val="clear" w:color="auto" w:fill="auto"/>
            <w:vAlign w:val="center"/>
          </w:tcPr>
          <w:p>
            <w:pPr>
              <w:rPr>
                <w:rFonts w:ascii="宋体" w:hAnsi="宋体" w:cs="宋体"/>
                <w:color w:val="000000"/>
                <w:sz w:val="24"/>
                <w:szCs w:val="24"/>
              </w:rPr>
            </w:pPr>
            <w:r>
              <w:rPr>
                <w:rFonts w:ascii="宋体" w:hAnsi="宋体" w:cs="宋体"/>
                <w:color w:val="000000"/>
                <w:sz w:val="24"/>
                <w:szCs w:val="24"/>
              </w:rPr>
              <w:t>24农发21</w:t>
            </w:r>
          </w:p>
        </w:tc>
        <w:tc>
          <w:tcPr>
            <w:tcW w:w="2693"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30,407,657.26</w:t>
            </w:r>
          </w:p>
        </w:tc>
        <w:tc>
          <w:tcPr>
            <w:tcW w:w="2431" w:type="dxa"/>
            <w:shd w:val="clear" w:color="auto" w:fill="auto"/>
            <w:vAlign w:val="center"/>
          </w:tcPr>
          <w:p>
            <w:pPr>
              <w:jc w:val="right"/>
              <w:rPr>
                <w:rFonts w:ascii="宋体" w:hAnsi="宋体" w:cs="宋体"/>
                <w:color w:val="000000"/>
                <w:sz w:val="24"/>
                <w:szCs w:val="24"/>
              </w:rPr>
            </w:pPr>
            <w:bookmarkStart w:id="0" w:name="OLE_LINK5"/>
            <w:bookmarkStart w:id="1" w:name="OLE_LINK6"/>
            <w:r>
              <w:rPr>
                <w:rFonts w:ascii="宋体" w:hAnsi="宋体" w:cs="宋体"/>
                <w:color w:val="000000"/>
                <w:sz w:val="24"/>
                <w:szCs w:val="24"/>
              </w:rPr>
              <w:t>9.91</w:t>
            </w:r>
            <w:bookmarkEnd w:id="0"/>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2</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23汴投03</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25,602,595.89</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8.34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3</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23中化岩土MTN002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20,762,527.95</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4</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23溧开04</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20,650,010.96</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5</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23临开Y1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20,565,926.03</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6</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24铁发03</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20,401,483.84</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7</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23渝合01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20,329,298.63</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8</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25农发01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20,079,565.48</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9</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铁建076A</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20,008,590.30</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10</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25临沂城发PPN002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20,000,577.26</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6.52</w:t>
            </w:r>
          </w:p>
        </w:tc>
      </w:tr>
    </w:tbl>
    <w:p>
      <w:pPr>
        <w:rPr>
          <w:rFonts w:ascii="宋体" w:hAnsi="宋体"/>
          <w:sz w:val="24"/>
        </w:rPr>
      </w:pPr>
      <w:r>
        <w:rPr>
          <w:rFonts w:hint="eastAsia" w:ascii="宋体" w:hAnsi="宋体"/>
          <w:sz w:val="24"/>
        </w:rPr>
        <w:t xml:space="preserve">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注：前十项资产明细仅包含证券投资、场外投资，不包含银行存款、存出保证金、清算备付金等资产。</w:t>
      </w:r>
    </w:p>
    <w:p>
      <w:pPr>
        <w:jc w:val="left"/>
        <w:rPr>
          <w:rFonts w:asciiTheme="minorEastAsia" w:hAnsiTheme="minorEastAsia" w:eastAsiaTheme="minorEastAsia"/>
          <w:sz w:val="24"/>
          <w:szCs w:val="24"/>
        </w:rPr>
      </w:pPr>
    </w:p>
    <w:p>
      <w:pPr>
        <w:ind w:left="4" w:leftChars="2"/>
        <w:jc w:val="left"/>
        <w:rPr>
          <w:rFonts w:ascii="宋体" w:hAnsi="宋体"/>
          <w:sz w:val="24"/>
          <w:szCs w:val="24"/>
        </w:rPr>
      </w:pPr>
      <w:r>
        <w:rPr>
          <w:rFonts w:hint="eastAsia" w:ascii="宋体" w:hAnsi="宋体"/>
          <w:sz w:val="24"/>
          <w:szCs w:val="24"/>
        </w:rPr>
        <w:t>4.4 报告期末投资非标准化债权资产情况</w:t>
      </w:r>
    </w:p>
    <w:tbl>
      <w:tblPr>
        <w:tblStyle w:val="17"/>
        <w:tblW w:w="90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992"/>
        <w:gridCol w:w="993"/>
        <w:gridCol w:w="1291"/>
        <w:gridCol w:w="1350"/>
        <w:gridCol w:w="2133"/>
        <w:gridCol w:w="1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704" w:type="dxa"/>
            <w:shd w:val="clear" w:color="auto" w:fill="D9D9D9"/>
            <w:vAlign w:val="center"/>
          </w:tcPr>
          <w:p>
            <w:pPr>
              <w:rPr>
                <w:rFonts w:ascii="宋体" w:hAnsi="宋体"/>
                <w:b/>
                <w:sz w:val="24"/>
                <w:szCs w:val="24"/>
              </w:rPr>
            </w:pPr>
            <w:r>
              <w:rPr>
                <w:rFonts w:hint="eastAsia" w:ascii="宋体" w:hAnsi="宋体"/>
                <w:b/>
                <w:sz w:val="24"/>
                <w:szCs w:val="24"/>
              </w:rPr>
              <w:t>序号</w:t>
            </w:r>
          </w:p>
        </w:tc>
        <w:tc>
          <w:tcPr>
            <w:tcW w:w="992" w:type="dxa"/>
            <w:shd w:val="clear" w:color="auto" w:fill="D9D9D9"/>
            <w:vAlign w:val="center"/>
          </w:tcPr>
          <w:p>
            <w:pPr>
              <w:jc w:val="left"/>
              <w:rPr>
                <w:rFonts w:ascii="宋体" w:hAnsi="宋体"/>
                <w:b/>
                <w:sz w:val="24"/>
                <w:szCs w:val="24"/>
              </w:rPr>
            </w:pPr>
            <w:r>
              <w:rPr>
                <w:rFonts w:hint="eastAsia" w:ascii="宋体" w:hAnsi="宋体"/>
                <w:b/>
                <w:sz w:val="24"/>
                <w:szCs w:val="24"/>
              </w:rPr>
              <w:t>项目名称</w:t>
            </w:r>
          </w:p>
        </w:tc>
        <w:tc>
          <w:tcPr>
            <w:tcW w:w="993" w:type="dxa"/>
            <w:shd w:val="clear" w:color="auto" w:fill="D9D9D9"/>
            <w:vAlign w:val="center"/>
          </w:tcPr>
          <w:p>
            <w:pPr>
              <w:jc w:val="left"/>
              <w:rPr>
                <w:rFonts w:ascii="宋体" w:hAnsi="宋体"/>
                <w:b/>
                <w:sz w:val="24"/>
                <w:szCs w:val="24"/>
              </w:rPr>
            </w:pPr>
            <w:r>
              <w:rPr>
                <w:rFonts w:hint="eastAsia" w:ascii="宋体" w:hAnsi="宋体"/>
                <w:b/>
                <w:sz w:val="24"/>
                <w:szCs w:val="24"/>
              </w:rPr>
              <w:t>融资客户</w:t>
            </w:r>
          </w:p>
        </w:tc>
        <w:tc>
          <w:tcPr>
            <w:tcW w:w="1291" w:type="dxa"/>
            <w:shd w:val="clear" w:color="auto" w:fill="D9D9D9"/>
            <w:vAlign w:val="center"/>
          </w:tcPr>
          <w:p>
            <w:pPr>
              <w:jc w:val="left"/>
              <w:rPr>
                <w:rFonts w:ascii="宋体" w:hAnsi="宋体"/>
                <w:b/>
                <w:sz w:val="24"/>
                <w:szCs w:val="24"/>
              </w:rPr>
            </w:pPr>
            <w:r>
              <w:rPr>
                <w:rFonts w:hint="eastAsia" w:ascii="宋体" w:hAnsi="宋体"/>
                <w:b/>
                <w:sz w:val="24"/>
                <w:szCs w:val="24"/>
              </w:rPr>
              <w:t>剩余融资期限（天）</w:t>
            </w:r>
          </w:p>
        </w:tc>
        <w:tc>
          <w:tcPr>
            <w:tcW w:w="1350" w:type="dxa"/>
            <w:shd w:val="clear" w:color="auto" w:fill="D9D9D9"/>
            <w:vAlign w:val="center"/>
          </w:tcPr>
          <w:p>
            <w:pPr>
              <w:jc w:val="left"/>
              <w:rPr>
                <w:rFonts w:ascii="宋体" w:hAnsi="宋体"/>
                <w:b/>
                <w:sz w:val="24"/>
                <w:szCs w:val="24"/>
              </w:rPr>
            </w:pPr>
            <w:r>
              <w:rPr>
                <w:rFonts w:hint="eastAsia" w:ascii="宋体" w:hAnsi="宋体"/>
                <w:b/>
                <w:sz w:val="24"/>
                <w:szCs w:val="24"/>
              </w:rPr>
              <w:t>到期收益分配</w:t>
            </w:r>
          </w:p>
        </w:tc>
        <w:tc>
          <w:tcPr>
            <w:tcW w:w="2133" w:type="dxa"/>
            <w:shd w:val="clear" w:color="auto" w:fill="D9D9D9"/>
            <w:vAlign w:val="center"/>
          </w:tcPr>
          <w:p>
            <w:pPr>
              <w:jc w:val="left"/>
              <w:rPr>
                <w:rFonts w:ascii="宋体" w:hAnsi="宋体"/>
                <w:b/>
                <w:sz w:val="24"/>
                <w:szCs w:val="24"/>
              </w:rPr>
            </w:pPr>
            <w:r>
              <w:rPr>
                <w:rFonts w:hint="eastAsia" w:ascii="宋体" w:hAnsi="宋体"/>
                <w:b/>
                <w:sz w:val="24"/>
                <w:szCs w:val="24"/>
              </w:rPr>
              <w:t>交易结构</w:t>
            </w:r>
          </w:p>
        </w:tc>
        <w:tc>
          <w:tcPr>
            <w:tcW w:w="1567" w:type="dxa"/>
            <w:shd w:val="clear" w:color="auto" w:fill="D9D9D9"/>
            <w:vAlign w:val="center"/>
          </w:tcPr>
          <w:p>
            <w:pPr>
              <w:jc w:val="left"/>
              <w:rPr>
                <w:rFonts w:ascii="宋体" w:hAnsi="宋体"/>
                <w:b/>
                <w:sz w:val="24"/>
                <w:szCs w:val="24"/>
              </w:rPr>
            </w:pPr>
            <w:r>
              <w:rPr>
                <w:rFonts w:hint="eastAsia" w:ascii="宋体" w:hAnsi="宋体"/>
                <w:b/>
                <w:sz w:val="24"/>
                <w:szCs w:val="24"/>
              </w:rPr>
              <w:t>风险状况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704" w:type="dxa"/>
            <w:shd w:val="clear" w:color="auto" w:fill="auto"/>
            <w:vAlign w:val="center"/>
          </w:tcPr>
          <w:p>
            <w:pPr>
              <w:jc w:val="center"/>
              <w:rPr>
                <w:rFonts w:ascii="宋体" w:hAnsi="宋体" w:cs="宋体"/>
                <w:color w:val="000000"/>
                <w:sz w:val="24"/>
                <w:szCs w:val="24"/>
              </w:rPr>
            </w:pPr>
          </w:p>
        </w:tc>
        <w:tc>
          <w:tcPr>
            <w:tcW w:w="992" w:type="dxa"/>
            <w:shd w:val="clear" w:color="auto" w:fill="auto"/>
            <w:vAlign w:val="center"/>
          </w:tcPr>
          <w:p>
            <w:pPr>
              <w:rPr>
                <w:rFonts w:ascii="宋体" w:hAnsi="宋体" w:cs="宋体"/>
                <w:color w:val="000000"/>
                <w:sz w:val="24"/>
                <w:szCs w:val="24"/>
              </w:rPr>
            </w:pPr>
          </w:p>
        </w:tc>
        <w:tc>
          <w:tcPr>
            <w:tcW w:w="993" w:type="dxa"/>
            <w:shd w:val="clear" w:color="auto" w:fill="auto"/>
            <w:vAlign w:val="center"/>
          </w:tcPr>
          <w:p>
            <w:pPr>
              <w:jc w:val="left"/>
              <w:rPr>
                <w:rFonts w:ascii="宋体" w:hAnsi="宋体" w:cs="宋体"/>
                <w:color w:val="000000"/>
                <w:sz w:val="24"/>
                <w:szCs w:val="24"/>
              </w:rPr>
            </w:pPr>
          </w:p>
        </w:tc>
        <w:tc>
          <w:tcPr>
            <w:tcW w:w="1291" w:type="dxa"/>
            <w:shd w:val="clear" w:color="auto" w:fill="auto"/>
            <w:vAlign w:val="center"/>
          </w:tcPr>
          <w:p>
            <w:pPr>
              <w:jc w:val="right"/>
              <w:rPr>
                <w:rFonts w:ascii="宋体" w:hAnsi="宋体" w:cs="宋体"/>
                <w:color w:val="000000"/>
                <w:sz w:val="24"/>
                <w:szCs w:val="24"/>
              </w:rPr>
            </w:pPr>
          </w:p>
        </w:tc>
        <w:tc>
          <w:tcPr>
            <w:tcW w:w="1350" w:type="dxa"/>
            <w:vAlign w:val="center"/>
          </w:tcPr>
          <w:p>
            <w:pPr>
              <w:jc w:val="right"/>
              <w:rPr>
                <w:rFonts w:ascii="宋体" w:hAnsi="宋体" w:cs="宋体"/>
                <w:color w:val="000000"/>
                <w:sz w:val="24"/>
                <w:szCs w:val="24"/>
              </w:rPr>
            </w:pPr>
          </w:p>
        </w:tc>
        <w:tc>
          <w:tcPr>
            <w:tcW w:w="2133" w:type="dxa"/>
            <w:vAlign w:val="center"/>
          </w:tcPr>
          <w:p>
            <w:pPr>
              <w:jc w:val="left"/>
              <w:rPr>
                <w:rFonts w:ascii="宋体" w:hAnsi="宋体"/>
                <w:sz w:val="24"/>
                <w:szCs w:val="24"/>
              </w:rPr>
            </w:pPr>
          </w:p>
        </w:tc>
        <w:tc>
          <w:tcPr>
            <w:tcW w:w="1567" w:type="dxa"/>
            <w:vAlign w:val="center"/>
          </w:tcPr>
          <w:p>
            <w:pPr>
              <w:jc w:val="left"/>
              <w:rPr>
                <w:rFonts w:ascii="宋体" w:hAnsi="宋体"/>
                <w:sz w:val="24"/>
                <w:szCs w:val="24"/>
              </w:rPr>
            </w:pPr>
          </w:p>
        </w:tc>
      </w:tr>
    </w:tbl>
    <w:p>
      <w:pPr>
        <w:ind w:left="4" w:leftChars="2"/>
        <w:jc w:val="left"/>
        <w:rPr>
          <w:rFonts w:asciiTheme="minorEastAsia" w:hAnsiTheme="minorEastAsia" w:eastAsiaTheme="minorEastAsia"/>
          <w:szCs w:val="21"/>
        </w:rPr>
      </w:pPr>
    </w:p>
    <w:p>
      <w:pPr>
        <w:ind w:left="4" w:leftChars="2"/>
        <w:jc w:val="left"/>
        <w:rPr>
          <w:rFonts w:ascii="宋体" w:hAnsi="宋体"/>
          <w:sz w:val="24"/>
          <w:szCs w:val="24"/>
        </w:rPr>
      </w:pPr>
      <w:r>
        <w:rPr>
          <w:rFonts w:hint="eastAsia" w:ascii="宋体" w:hAnsi="宋体" w:cs="宋体"/>
          <w:color w:val="000000"/>
          <w:sz w:val="24"/>
          <w:szCs w:val="24"/>
        </w:rPr>
        <w:t>4.5 产品份额变动</w:t>
      </w:r>
    </w:p>
    <w:p>
      <w:pPr>
        <w:ind w:left="4" w:leftChars="2"/>
        <w:jc w:val="right"/>
        <w:rPr>
          <w:rFonts w:asciiTheme="minorEastAsia" w:hAnsiTheme="minorEastAsia" w:eastAsiaTheme="minorEastAsia"/>
          <w:szCs w:val="21"/>
        </w:rPr>
      </w:pPr>
      <w:r>
        <w:rPr>
          <w:rFonts w:hint="eastAsia" w:ascii="宋体" w:hAnsi="宋体" w:cs="宋体"/>
          <w:color w:val="000000"/>
          <w:sz w:val="24"/>
          <w:szCs w:val="24"/>
        </w:rPr>
        <w:t>单位：份</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2"/>
        <w:gridCol w:w="6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报告期期初产品份额总额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790,073,912.85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10507A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286,909,371.86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10507B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503,164,540.99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报告期期间产品总申购份额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881,122,079.42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报告期期间产品总赎回份额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-1,388,896,319.87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报告期期末产品份额总额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282,299,672.40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10507A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119,710,573.60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10507B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162,589,098.80</w:t>
            </w:r>
          </w:p>
        </w:tc>
      </w:tr>
    </w:tbl>
    <w:p>
      <w:pPr>
        <w:spacing w:line="360" w:lineRule="auto"/>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4.6 投资账户信息</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1838"/>
        <w:gridCol w:w="1734"/>
        <w:gridCol w:w="3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账户类型</w:t>
            </w:r>
          </w:p>
        </w:tc>
        <w:tc>
          <w:tcPr>
            <w:tcW w:w="1838" w:type="dxa"/>
            <w:tcMar>
              <w:top w:w="0" w:type="dxa"/>
              <w:left w:w="108" w:type="dxa"/>
              <w:bottom w:w="10" w:type="dxa"/>
              <w:right w:w="118" w:type="dxa"/>
            </w:tcMar>
            <w:vAlign w:val="top"/>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账户名称</w:t>
            </w:r>
          </w:p>
        </w:tc>
        <w:tc>
          <w:tcPr>
            <w:tcW w:w="1734" w:type="dxa"/>
            <w:tcMar>
              <w:top w:w="0" w:type="dxa"/>
              <w:left w:w="108" w:type="dxa"/>
              <w:bottom w:w="10" w:type="dxa"/>
              <w:right w:w="118" w:type="dxa"/>
            </w:tcMar>
            <w:vAlign w:val="top"/>
          </w:tcPr>
          <w:p>
            <w:pPr>
              <w:jc w:val="both"/>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账号</w:t>
            </w:r>
          </w:p>
        </w:tc>
        <w:tc>
          <w:tcPr>
            <w:tcW w:w="3818" w:type="dxa"/>
            <w:tcMar>
              <w:top w:w="0" w:type="dxa"/>
              <w:left w:w="108" w:type="dxa"/>
              <w:bottom w:w="10" w:type="dxa"/>
              <w:right w:w="118" w:type="dxa"/>
            </w:tcMar>
            <w:vAlign w:val="top"/>
          </w:tcPr>
          <w:p>
            <w:pPr>
              <w:jc w:val="both"/>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开户行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托管账户</w:t>
            </w:r>
          </w:p>
        </w:tc>
        <w:tc>
          <w:tcPr>
            <w:tcW w:w="183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Style w:val="53"/>
                <w:sz w:val="24"/>
                <w:szCs w:val="24"/>
                <w:lang w:val="en-US" w:eastAsia="zh-CN" w:bidi="ar"/>
              </w:rPr>
              <w:t>齐鲁银行股份有限公司泉心盈105天7号</w:t>
            </w:r>
          </w:p>
        </w:tc>
        <w:tc>
          <w:tcPr>
            <w:tcW w:w="1734"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531902382310830</w:t>
            </w:r>
          </w:p>
        </w:tc>
        <w:tc>
          <w:tcPr>
            <w:tcW w:w="381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招商银行济南分行营业部</w:t>
            </w:r>
          </w:p>
        </w:tc>
      </w:tr>
    </w:tbl>
    <w:p>
      <w:pPr>
        <w:spacing w:line="360" w:lineRule="auto"/>
        <w:rPr>
          <w:rFonts w:hint="default" w:ascii="宋体" w:hAnsi="宋体" w:cs="宋体"/>
          <w:color w:val="000000"/>
          <w:sz w:val="24"/>
          <w:szCs w:val="24"/>
          <w:lang w:val="en-US" w:eastAsia="zh-CN"/>
        </w:rPr>
      </w:pPr>
    </w:p>
    <w:p>
      <w:pPr>
        <w:spacing w:line="360" w:lineRule="auto"/>
        <w:rPr>
          <w:rFonts w:ascii="宋体" w:hAnsi="宋体" w:cs="宋体"/>
          <w:color w:val="000000"/>
          <w:sz w:val="24"/>
          <w:szCs w:val="24"/>
        </w:rPr>
      </w:pPr>
    </w:p>
    <w:p>
      <w:pPr>
        <w:jc w:val="center"/>
        <w:rPr>
          <w:rFonts w:ascii="宋体" w:hAnsi="宋体"/>
          <w:bCs/>
          <w:sz w:val="33"/>
          <w:szCs w:val="33"/>
        </w:rPr>
      </w:pPr>
      <w:r>
        <w:rPr>
          <w:rFonts w:hint="eastAsia" w:ascii="宋体" w:hAnsi="宋体"/>
          <w:bCs/>
          <w:sz w:val="33"/>
          <w:szCs w:val="33"/>
        </w:rPr>
        <w:t>5  托管人报告</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5.1托管人履职情况</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5.1.1托管资产保管</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5.1.2会计核算和估值</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招商银行按照与齐鲁银行股份有限公司在托管协议中约定的统一记账方法和会计处理原则，独立地设置、登录和保管本产品的全套账册，进行会计核算和资产估值。</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5.1.3定期核对有关数据</w:t>
      </w:r>
    </w:p>
    <w:p>
      <w:pPr>
        <w:spacing w:line="360" w:lineRule="auto"/>
        <w:ind w:firstLine="480" w:firstLineChars="200"/>
        <w:rPr>
          <w:rFonts w:hint="eastAsia"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招商银行根据托管协议约定与齐鲁银行股份有限公司或外包机构定期进行账务核对。</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5.1.4投资监督</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招商银行根据法规、托管协议以及双方约定的投资监督条款，对投资运作情况进行监督。</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5.2托管人声明</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托管人声明：招商银行具备完善的公司治理结构、内部稽核监控制度和风险控制制度，我行在齐鲁银行股份有限公司“泉心理财”</w:t>
      </w:r>
      <w:r>
        <w:rPr>
          <w:rFonts w:hint="eastAsia" w:ascii="宋体" w:hAnsi="宋体" w:cs="宋体"/>
          <w:color w:val="000000"/>
          <w:kern w:val="2"/>
          <w:sz w:val="24"/>
          <w:szCs w:val="24"/>
        </w:rPr>
        <w:t>泉心盈105天7号</w:t>
      </w:r>
      <w:r>
        <w:rPr>
          <w:rFonts w:hint="eastAsia" w:ascii="宋体" w:hAnsi="宋体" w:cs="宋体"/>
          <w:color w:val="000000"/>
          <w:sz w:val="24"/>
          <w:szCs w:val="24"/>
          <w:highlight w:val="none"/>
          <w:lang w:val="en-US" w:eastAsia="zh-CN"/>
        </w:rPr>
        <w:t>托管的过程中，严格遵守有关法律法规、托管协议的规定，尽职尽责地履行托管义务并安全保管托管资产。</w:t>
      </w:r>
    </w:p>
    <w:p>
      <w:pPr>
        <w:spacing w:line="360" w:lineRule="auto"/>
        <w:ind w:firstLine="420"/>
        <w:rPr>
          <w:rFonts w:ascii="宋体" w:hAnsi="宋体" w:cs="宋体"/>
          <w:color w:val="000000"/>
          <w:sz w:val="24"/>
          <w:szCs w:val="24"/>
        </w:rPr>
      </w:pPr>
    </w:p>
    <w:p>
      <w:pPr>
        <w:spacing w:line="360" w:lineRule="auto"/>
        <w:ind w:firstLine="420"/>
        <w:rPr>
          <w:rFonts w:eastAsia="Times New Roman"/>
        </w:rPr>
      </w:pPr>
      <w:r>
        <w:rPr>
          <w:rFonts w:ascii="Calibri" w:hAnsi="Calibri" w:eastAsia="Calibri" w:cs="Calibri"/>
          <w:szCs w:val="21"/>
        </w:rPr>
        <w:t> </w:t>
      </w:r>
    </w:p>
    <w:p>
      <w:pPr>
        <w:jc w:val="right"/>
        <w:rPr>
          <w:rFonts w:ascii="宋体" w:hAnsi="宋体" w:cs="宋体"/>
          <w:color w:val="000000"/>
          <w:sz w:val="24"/>
          <w:szCs w:val="24"/>
        </w:rPr>
      </w:pPr>
      <w:r>
        <w:rPr>
          <w:rFonts w:hint="eastAsia" w:ascii="宋体" w:hAnsi="宋体" w:cs="宋体"/>
          <w:color w:val="000000"/>
          <w:sz w:val="24"/>
          <w:szCs w:val="24"/>
        </w:rPr>
        <w:t>齐鲁银行股份有限公司</w:t>
      </w:r>
    </w:p>
    <w:p>
      <w:pPr>
        <w:ind w:firstLine="400"/>
        <w:jc w:val="right"/>
        <w:rPr>
          <w:rFonts w:ascii="宋体" w:hAnsi="宋体" w:cs="宋体"/>
          <w:color w:val="000000"/>
          <w:sz w:val="24"/>
          <w:szCs w:val="24"/>
        </w:rPr>
      </w:pPr>
      <w:r>
        <w:rPr>
          <w:rFonts w:hint="eastAsia" w:ascii="宋体" w:hAnsi="宋体" w:cs="宋体"/>
          <w:color w:val="000000"/>
          <w:sz w:val="24"/>
          <w:szCs w:val="24"/>
        </w:rPr>
        <w:t>2025-08-29</w:t>
      </w:r>
    </w:p>
    <w:p>
      <w:pPr>
        <w:jc w:val="right"/>
        <w:rPr>
          <w:rFonts w:ascii="宋体" w:hAnsi="宋体"/>
          <w:sz w:val="28"/>
          <w:szCs w:val="28"/>
        </w:rPr>
      </w:pP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305A"/>
    <w:rsid w:val="00035197"/>
    <w:rsid w:val="00036749"/>
    <w:rsid w:val="00036CDC"/>
    <w:rsid w:val="0003799B"/>
    <w:rsid w:val="00047F36"/>
    <w:rsid w:val="00055BE3"/>
    <w:rsid w:val="0006004E"/>
    <w:rsid w:val="0006022E"/>
    <w:rsid w:val="00062D58"/>
    <w:rsid w:val="000666E4"/>
    <w:rsid w:val="000739FE"/>
    <w:rsid w:val="00074396"/>
    <w:rsid w:val="000745C5"/>
    <w:rsid w:val="00074778"/>
    <w:rsid w:val="000811DB"/>
    <w:rsid w:val="00081814"/>
    <w:rsid w:val="000825A8"/>
    <w:rsid w:val="000825DB"/>
    <w:rsid w:val="00083139"/>
    <w:rsid w:val="00084444"/>
    <w:rsid w:val="000954BC"/>
    <w:rsid w:val="000957D7"/>
    <w:rsid w:val="00096252"/>
    <w:rsid w:val="000A0247"/>
    <w:rsid w:val="000A1C35"/>
    <w:rsid w:val="000B049B"/>
    <w:rsid w:val="000B12F7"/>
    <w:rsid w:val="000B65EC"/>
    <w:rsid w:val="000C01AC"/>
    <w:rsid w:val="000C0357"/>
    <w:rsid w:val="000C5B47"/>
    <w:rsid w:val="000D078C"/>
    <w:rsid w:val="000D4CEA"/>
    <w:rsid w:val="000D5DDE"/>
    <w:rsid w:val="000E103E"/>
    <w:rsid w:val="000E2280"/>
    <w:rsid w:val="000E5BF4"/>
    <w:rsid w:val="000E7303"/>
    <w:rsid w:val="000E7594"/>
    <w:rsid w:val="000E76D1"/>
    <w:rsid w:val="000E7EE4"/>
    <w:rsid w:val="000F1CA3"/>
    <w:rsid w:val="000F1EB8"/>
    <w:rsid w:val="000F79B4"/>
    <w:rsid w:val="00123DCF"/>
    <w:rsid w:val="001241D2"/>
    <w:rsid w:val="00127EE5"/>
    <w:rsid w:val="00130058"/>
    <w:rsid w:val="001304CE"/>
    <w:rsid w:val="00130B97"/>
    <w:rsid w:val="001318F5"/>
    <w:rsid w:val="00131F63"/>
    <w:rsid w:val="001321D3"/>
    <w:rsid w:val="001367E6"/>
    <w:rsid w:val="0013763A"/>
    <w:rsid w:val="00137F13"/>
    <w:rsid w:val="00140432"/>
    <w:rsid w:val="00142BF7"/>
    <w:rsid w:val="001431D2"/>
    <w:rsid w:val="001438D5"/>
    <w:rsid w:val="001505C2"/>
    <w:rsid w:val="0015110C"/>
    <w:rsid w:val="0015418C"/>
    <w:rsid w:val="001546E3"/>
    <w:rsid w:val="00156CE7"/>
    <w:rsid w:val="001634F8"/>
    <w:rsid w:val="00172A27"/>
    <w:rsid w:val="00175535"/>
    <w:rsid w:val="00176115"/>
    <w:rsid w:val="0019201F"/>
    <w:rsid w:val="00193F23"/>
    <w:rsid w:val="00196688"/>
    <w:rsid w:val="001A6A60"/>
    <w:rsid w:val="001A6DCE"/>
    <w:rsid w:val="001B0D81"/>
    <w:rsid w:val="001B2258"/>
    <w:rsid w:val="001B3575"/>
    <w:rsid w:val="001B43F0"/>
    <w:rsid w:val="001B6489"/>
    <w:rsid w:val="001C4ACD"/>
    <w:rsid w:val="001C5999"/>
    <w:rsid w:val="001D364E"/>
    <w:rsid w:val="001D61DA"/>
    <w:rsid w:val="001E1A37"/>
    <w:rsid w:val="001E27AF"/>
    <w:rsid w:val="001E2A08"/>
    <w:rsid w:val="001E4B7A"/>
    <w:rsid w:val="001E5E17"/>
    <w:rsid w:val="001E7354"/>
    <w:rsid w:val="001E7E3E"/>
    <w:rsid w:val="001F28F0"/>
    <w:rsid w:val="001F4ADC"/>
    <w:rsid w:val="001F5BAE"/>
    <w:rsid w:val="001F7D68"/>
    <w:rsid w:val="00203B47"/>
    <w:rsid w:val="00203F6A"/>
    <w:rsid w:val="00210223"/>
    <w:rsid w:val="0021036E"/>
    <w:rsid w:val="00212735"/>
    <w:rsid w:val="00212AC6"/>
    <w:rsid w:val="00217B81"/>
    <w:rsid w:val="00222DFB"/>
    <w:rsid w:val="00226962"/>
    <w:rsid w:val="00226D1D"/>
    <w:rsid w:val="00226FB5"/>
    <w:rsid w:val="00227C89"/>
    <w:rsid w:val="0024340D"/>
    <w:rsid w:val="00246E06"/>
    <w:rsid w:val="002520E6"/>
    <w:rsid w:val="00254241"/>
    <w:rsid w:val="002543ED"/>
    <w:rsid w:val="002550F8"/>
    <w:rsid w:val="00256F99"/>
    <w:rsid w:val="00261703"/>
    <w:rsid w:val="00265F21"/>
    <w:rsid w:val="002709E9"/>
    <w:rsid w:val="00280418"/>
    <w:rsid w:val="00285198"/>
    <w:rsid w:val="0028673C"/>
    <w:rsid w:val="00291837"/>
    <w:rsid w:val="00293CED"/>
    <w:rsid w:val="002A1060"/>
    <w:rsid w:val="002A6967"/>
    <w:rsid w:val="002B18D0"/>
    <w:rsid w:val="002B1BF7"/>
    <w:rsid w:val="002B2425"/>
    <w:rsid w:val="002B5C75"/>
    <w:rsid w:val="002B6AB0"/>
    <w:rsid w:val="002B6D92"/>
    <w:rsid w:val="002C0D52"/>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70E3"/>
    <w:rsid w:val="003217E4"/>
    <w:rsid w:val="003245FC"/>
    <w:rsid w:val="003350C8"/>
    <w:rsid w:val="00336953"/>
    <w:rsid w:val="0034174F"/>
    <w:rsid w:val="00347E59"/>
    <w:rsid w:val="0035009E"/>
    <w:rsid w:val="00351099"/>
    <w:rsid w:val="00352648"/>
    <w:rsid w:val="00352670"/>
    <w:rsid w:val="00353071"/>
    <w:rsid w:val="0035379B"/>
    <w:rsid w:val="003545C4"/>
    <w:rsid w:val="00354AB0"/>
    <w:rsid w:val="00355F58"/>
    <w:rsid w:val="00362921"/>
    <w:rsid w:val="003629D6"/>
    <w:rsid w:val="0036621F"/>
    <w:rsid w:val="00370236"/>
    <w:rsid w:val="00370D1C"/>
    <w:rsid w:val="0037107A"/>
    <w:rsid w:val="0037163C"/>
    <w:rsid w:val="00372961"/>
    <w:rsid w:val="00373861"/>
    <w:rsid w:val="0037574C"/>
    <w:rsid w:val="00380B72"/>
    <w:rsid w:val="00385970"/>
    <w:rsid w:val="00386B5A"/>
    <w:rsid w:val="00391B1F"/>
    <w:rsid w:val="00392524"/>
    <w:rsid w:val="0039364C"/>
    <w:rsid w:val="00393CB1"/>
    <w:rsid w:val="003942F4"/>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64C"/>
    <w:rsid w:val="0041580B"/>
    <w:rsid w:val="00415C27"/>
    <w:rsid w:val="00415F33"/>
    <w:rsid w:val="004169FD"/>
    <w:rsid w:val="00420876"/>
    <w:rsid w:val="0042283D"/>
    <w:rsid w:val="00422CED"/>
    <w:rsid w:val="004332EF"/>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B6EF6"/>
    <w:rsid w:val="004C126D"/>
    <w:rsid w:val="004C2C74"/>
    <w:rsid w:val="004C439A"/>
    <w:rsid w:val="004C56A8"/>
    <w:rsid w:val="004C689C"/>
    <w:rsid w:val="004D2B6B"/>
    <w:rsid w:val="004D2D2A"/>
    <w:rsid w:val="004E2CFE"/>
    <w:rsid w:val="004E344E"/>
    <w:rsid w:val="004E4E80"/>
    <w:rsid w:val="004E53DD"/>
    <w:rsid w:val="004F50D0"/>
    <w:rsid w:val="004F55AB"/>
    <w:rsid w:val="004F5803"/>
    <w:rsid w:val="004F64A1"/>
    <w:rsid w:val="00500777"/>
    <w:rsid w:val="00501D92"/>
    <w:rsid w:val="00503B75"/>
    <w:rsid w:val="005066A6"/>
    <w:rsid w:val="00511DB9"/>
    <w:rsid w:val="00513688"/>
    <w:rsid w:val="00513763"/>
    <w:rsid w:val="005231F4"/>
    <w:rsid w:val="00524996"/>
    <w:rsid w:val="00524F71"/>
    <w:rsid w:val="00527A49"/>
    <w:rsid w:val="005310A6"/>
    <w:rsid w:val="0053595B"/>
    <w:rsid w:val="00537901"/>
    <w:rsid w:val="00540DE6"/>
    <w:rsid w:val="00542A91"/>
    <w:rsid w:val="0054387B"/>
    <w:rsid w:val="005465B6"/>
    <w:rsid w:val="00554065"/>
    <w:rsid w:val="00555D8D"/>
    <w:rsid w:val="00556DA2"/>
    <w:rsid w:val="00560EAF"/>
    <w:rsid w:val="00572059"/>
    <w:rsid w:val="00573E83"/>
    <w:rsid w:val="00575762"/>
    <w:rsid w:val="005775FA"/>
    <w:rsid w:val="00583550"/>
    <w:rsid w:val="00591622"/>
    <w:rsid w:val="005947ED"/>
    <w:rsid w:val="00596277"/>
    <w:rsid w:val="00596803"/>
    <w:rsid w:val="005A6657"/>
    <w:rsid w:val="005B0572"/>
    <w:rsid w:val="005B19E8"/>
    <w:rsid w:val="005B6C71"/>
    <w:rsid w:val="005B7EF7"/>
    <w:rsid w:val="005C208D"/>
    <w:rsid w:val="005C6300"/>
    <w:rsid w:val="005D0C97"/>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27DC0"/>
    <w:rsid w:val="00632039"/>
    <w:rsid w:val="00641758"/>
    <w:rsid w:val="00643676"/>
    <w:rsid w:val="006436D6"/>
    <w:rsid w:val="006458E3"/>
    <w:rsid w:val="006464AD"/>
    <w:rsid w:val="00647545"/>
    <w:rsid w:val="00647AB1"/>
    <w:rsid w:val="00655059"/>
    <w:rsid w:val="00660553"/>
    <w:rsid w:val="00663245"/>
    <w:rsid w:val="00663DE1"/>
    <w:rsid w:val="00664C86"/>
    <w:rsid w:val="00665902"/>
    <w:rsid w:val="006664D5"/>
    <w:rsid w:val="00667447"/>
    <w:rsid w:val="0067267E"/>
    <w:rsid w:val="00675178"/>
    <w:rsid w:val="006761C2"/>
    <w:rsid w:val="006771FF"/>
    <w:rsid w:val="00682943"/>
    <w:rsid w:val="00683D3B"/>
    <w:rsid w:val="006876F4"/>
    <w:rsid w:val="00692A30"/>
    <w:rsid w:val="00693EF1"/>
    <w:rsid w:val="00697DB7"/>
    <w:rsid w:val="006A2BA8"/>
    <w:rsid w:val="006A307A"/>
    <w:rsid w:val="006B0B91"/>
    <w:rsid w:val="006B24E7"/>
    <w:rsid w:val="006B554E"/>
    <w:rsid w:val="006B5B87"/>
    <w:rsid w:val="006B77BE"/>
    <w:rsid w:val="006C21A8"/>
    <w:rsid w:val="006C49D3"/>
    <w:rsid w:val="006C71D5"/>
    <w:rsid w:val="006C742E"/>
    <w:rsid w:val="006D4D97"/>
    <w:rsid w:val="006D78DE"/>
    <w:rsid w:val="006E2B12"/>
    <w:rsid w:val="006E3BE7"/>
    <w:rsid w:val="006E5986"/>
    <w:rsid w:val="006E5F79"/>
    <w:rsid w:val="006E6073"/>
    <w:rsid w:val="006E72DC"/>
    <w:rsid w:val="006E7D51"/>
    <w:rsid w:val="006F01F5"/>
    <w:rsid w:val="006F05AC"/>
    <w:rsid w:val="006F1E99"/>
    <w:rsid w:val="006F26FB"/>
    <w:rsid w:val="006F2A9A"/>
    <w:rsid w:val="006F33DF"/>
    <w:rsid w:val="006F3BCC"/>
    <w:rsid w:val="00710F9C"/>
    <w:rsid w:val="00711860"/>
    <w:rsid w:val="00714D1B"/>
    <w:rsid w:val="00717029"/>
    <w:rsid w:val="00720312"/>
    <w:rsid w:val="0072202C"/>
    <w:rsid w:val="0072288E"/>
    <w:rsid w:val="00727121"/>
    <w:rsid w:val="00730BF8"/>
    <w:rsid w:val="007313AE"/>
    <w:rsid w:val="0073667E"/>
    <w:rsid w:val="00740012"/>
    <w:rsid w:val="00741F34"/>
    <w:rsid w:val="00745B3A"/>
    <w:rsid w:val="0074780F"/>
    <w:rsid w:val="007502BB"/>
    <w:rsid w:val="007520B7"/>
    <w:rsid w:val="00752D2E"/>
    <w:rsid w:val="007539EE"/>
    <w:rsid w:val="00756CFF"/>
    <w:rsid w:val="00762F4A"/>
    <w:rsid w:val="007633CA"/>
    <w:rsid w:val="007663F0"/>
    <w:rsid w:val="00773DEB"/>
    <w:rsid w:val="00774DB3"/>
    <w:rsid w:val="00777511"/>
    <w:rsid w:val="00782BD3"/>
    <w:rsid w:val="00783A2D"/>
    <w:rsid w:val="0078701B"/>
    <w:rsid w:val="0079003D"/>
    <w:rsid w:val="00790F54"/>
    <w:rsid w:val="0079349C"/>
    <w:rsid w:val="007957D3"/>
    <w:rsid w:val="007A41FE"/>
    <w:rsid w:val="007A4FF1"/>
    <w:rsid w:val="007A5C4C"/>
    <w:rsid w:val="007A6008"/>
    <w:rsid w:val="007A66E8"/>
    <w:rsid w:val="007A67A8"/>
    <w:rsid w:val="007A6D6E"/>
    <w:rsid w:val="007B3FDF"/>
    <w:rsid w:val="007C00B5"/>
    <w:rsid w:val="007C271F"/>
    <w:rsid w:val="007D4695"/>
    <w:rsid w:val="007D5F69"/>
    <w:rsid w:val="007D7D2D"/>
    <w:rsid w:val="007E22BB"/>
    <w:rsid w:val="007E24A8"/>
    <w:rsid w:val="007E6BBB"/>
    <w:rsid w:val="007F261A"/>
    <w:rsid w:val="007F4389"/>
    <w:rsid w:val="0080135F"/>
    <w:rsid w:val="00802F9D"/>
    <w:rsid w:val="00805841"/>
    <w:rsid w:val="008067E9"/>
    <w:rsid w:val="008138C2"/>
    <w:rsid w:val="008207FC"/>
    <w:rsid w:val="00824A1A"/>
    <w:rsid w:val="0082723D"/>
    <w:rsid w:val="00830FB1"/>
    <w:rsid w:val="008318D4"/>
    <w:rsid w:val="00835C56"/>
    <w:rsid w:val="00835F60"/>
    <w:rsid w:val="0083628C"/>
    <w:rsid w:val="00840509"/>
    <w:rsid w:val="00840E2A"/>
    <w:rsid w:val="00841B85"/>
    <w:rsid w:val="0084484A"/>
    <w:rsid w:val="00845EAD"/>
    <w:rsid w:val="008466A5"/>
    <w:rsid w:val="008509BD"/>
    <w:rsid w:val="008518FE"/>
    <w:rsid w:val="008631C4"/>
    <w:rsid w:val="00863246"/>
    <w:rsid w:val="008647E2"/>
    <w:rsid w:val="00865A3B"/>
    <w:rsid w:val="00867C1C"/>
    <w:rsid w:val="0087458E"/>
    <w:rsid w:val="00874F4C"/>
    <w:rsid w:val="00877005"/>
    <w:rsid w:val="0088112D"/>
    <w:rsid w:val="008816D8"/>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0656"/>
    <w:rsid w:val="00902772"/>
    <w:rsid w:val="00903665"/>
    <w:rsid w:val="0090419E"/>
    <w:rsid w:val="00904C28"/>
    <w:rsid w:val="009053AC"/>
    <w:rsid w:val="00910979"/>
    <w:rsid w:val="00913FA1"/>
    <w:rsid w:val="00916263"/>
    <w:rsid w:val="00916B1E"/>
    <w:rsid w:val="00916CF7"/>
    <w:rsid w:val="00916F72"/>
    <w:rsid w:val="009200D9"/>
    <w:rsid w:val="00924290"/>
    <w:rsid w:val="0093136C"/>
    <w:rsid w:val="00932C76"/>
    <w:rsid w:val="00932DEA"/>
    <w:rsid w:val="009361E0"/>
    <w:rsid w:val="00940851"/>
    <w:rsid w:val="00950E79"/>
    <w:rsid w:val="00953DC8"/>
    <w:rsid w:val="009541DC"/>
    <w:rsid w:val="00954DED"/>
    <w:rsid w:val="00957FBC"/>
    <w:rsid w:val="0096288A"/>
    <w:rsid w:val="0096360D"/>
    <w:rsid w:val="00963665"/>
    <w:rsid w:val="009647CE"/>
    <w:rsid w:val="00964DCE"/>
    <w:rsid w:val="009661C0"/>
    <w:rsid w:val="009713B5"/>
    <w:rsid w:val="009762AB"/>
    <w:rsid w:val="0097695A"/>
    <w:rsid w:val="00982515"/>
    <w:rsid w:val="00985C6F"/>
    <w:rsid w:val="00987DA5"/>
    <w:rsid w:val="00996119"/>
    <w:rsid w:val="009A10CD"/>
    <w:rsid w:val="009A7588"/>
    <w:rsid w:val="009B1BE6"/>
    <w:rsid w:val="009B2215"/>
    <w:rsid w:val="009B3F2A"/>
    <w:rsid w:val="009B493D"/>
    <w:rsid w:val="009B6017"/>
    <w:rsid w:val="009B77A4"/>
    <w:rsid w:val="009B7B34"/>
    <w:rsid w:val="009C02EB"/>
    <w:rsid w:val="009C263C"/>
    <w:rsid w:val="009C760C"/>
    <w:rsid w:val="009D22C9"/>
    <w:rsid w:val="009D59B1"/>
    <w:rsid w:val="009D6E38"/>
    <w:rsid w:val="009D7F30"/>
    <w:rsid w:val="009E7949"/>
    <w:rsid w:val="009F1173"/>
    <w:rsid w:val="009F2CE7"/>
    <w:rsid w:val="009F6300"/>
    <w:rsid w:val="00A02D2A"/>
    <w:rsid w:val="00A03DAA"/>
    <w:rsid w:val="00A053A7"/>
    <w:rsid w:val="00A07072"/>
    <w:rsid w:val="00A1398C"/>
    <w:rsid w:val="00A16209"/>
    <w:rsid w:val="00A179D8"/>
    <w:rsid w:val="00A17F78"/>
    <w:rsid w:val="00A217B1"/>
    <w:rsid w:val="00A226D6"/>
    <w:rsid w:val="00A326C7"/>
    <w:rsid w:val="00A34E4F"/>
    <w:rsid w:val="00A36005"/>
    <w:rsid w:val="00A36F6E"/>
    <w:rsid w:val="00A40FDD"/>
    <w:rsid w:val="00A43B1A"/>
    <w:rsid w:val="00A476E2"/>
    <w:rsid w:val="00A52E27"/>
    <w:rsid w:val="00A66B88"/>
    <w:rsid w:val="00A7059A"/>
    <w:rsid w:val="00A73CCB"/>
    <w:rsid w:val="00A754BF"/>
    <w:rsid w:val="00A80900"/>
    <w:rsid w:val="00A9256F"/>
    <w:rsid w:val="00A94073"/>
    <w:rsid w:val="00A95724"/>
    <w:rsid w:val="00A97609"/>
    <w:rsid w:val="00AA0964"/>
    <w:rsid w:val="00AA0D73"/>
    <w:rsid w:val="00AB0553"/>
    <w:rsid w:val="00AB7F1E"/>
    <w:rsid w:val="00AC0253"/>
    <w:rsid w:val="00AC760B"/>
    <w:rsid w:val="00AD0E90"/>
    <w:rsid w:val="00AD267E"/>
    <w:rsid w:val="00AD5950"/>
    <w:rsid w:val="00AE7B09"/>
    <w:rsid w:val="00AF4B02"/>
    <w:rsid w:val="00AF5C38"/>
    <w:rsid w:val="00AF6371"/>
    <w:rsid w:val="00B01D6A"/>
    <w:rsid w:val="00B0308C"/>
    <w:rsid w:val="00B10E20"/>
    <w:rsid w:val="00B13755"/>
    <w:rsid w:val="00B14EDA"/>
    <w:rsid w:val="00B15B26"/>
    <w:rsid w:val="00B15EA7"/>
    <w:rsid w:val="00B218BF"/>
    <w:rsid w:val="00B273A3"/>
    <w:rsid w:val="00B27FD9"/>
    <w:rsid w:val="00B30A58"/>
    <w:rsid w:val="00B33E1B"/>
    <w:rsid w:val="00B343B8"/>
    <w:rsid w:val="00B347A3"/>
    <w:rsid w:val="00B35FBA"/>
    <w:rsid w:val="00B35FD4"/>
    <w:rsid w:val="00B40022"/>
    <w:rsid w:val="00B40969"/>
    <w:rsid w:val="00B4789A"/>
    <w:rsid w:val="00B51B53"/>
    <w:rsid w:val="00B527C6"/>
    <w:rsid w:val="00B63983"/>
    <w:rsid w:val="00B66459"/>
    <w:rsid w:val="00B7027A"/>
    <w:rsid w:val="00B719FD"/>
    <w:rsid w:val="00B71B7E"/>
    <w:rsid w:val="00B7384C"/>
    <w:rsid w:val="00B73D60"/>
    <w:rsid w:val="00B7675B"/>
    <w:rsid w:val="00B80918"/>
    <w:rsid w:val="00B81709"/>
    <w:rsid w:val="00B82529"/>
    <w:rsid w:val="00B82FD4"/>
    <w:rsid w:val="00B91227"/>
    <w:rsid w:val="00B9280A"/>
    <w:rsid w:val="00B94D4D"/>
    <w:rsid w:val="00B9576A"/>
    <w:rsid w:val="00B959E0"/>
    <w:rsid w:val="00B9605D"/>
    <w:rsid w:val="00B96F7F"/>
    <w:rsid w:val="00BA2FE9"/>
    <w:rsid w:val="00BB2C8E"/>
    <w:rsid w:val="00BB3836"/>
    <w:rsid w:val="00BC6F6D"/>
    <w:rsid w:val="00BC79AA"/>
    <w:rsid w:val="00BC7BE2"/>
    <w:rsid w:val="00BD01DA"/>
    <w:rsid w:val="00BD1DC0"/>
    <w:rsid w:val="00BE1D4B"/>
    <w:rsid w:val="00BE2BF0"/>
    <w:rsid w:val="00BE491C"/>
    <w:rsid w:val="00BE4F1C"/>
    <w:rsid w:val="00BE6F0A"/>
    <w:rsid w:val="00BE7278"/>
    <w:rsid w:val="00BF0CCC"/>
    <w:rsid w:val="00BF2E9E"/>
    <w:rsid w:val="00BF5021"/>
    <w:rsid w:val="00BF625D"/>
    <w:rsid w:val="00BF6960"/>
    <w:rsid w:val="00C00573"/>
    <w:rsid w:val="00C01D6D"/>
    <w:rsid w:val="00C0394B"/>
    <w:rsid w:val="00C101D8"/>
    <w:rsid w:val="00C15724"/>
    <w:rsid w:val="00C16678"/>
    <w:rsid w:val="00C21599"/>
    <w:rsid w:val="00C244B2"/>
    <w:rsid w:val="00C30868"/>
    <w:rsid w:val="00C32521"/>
    <w:rsid w:val="00C41372"/>
    <w:rsid w:val="00C41F00"/>
    <w:rsid w:val="00C41FD7"/>
    <w:rsid w:val="00C4406A"/>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A5"/>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271"/>
    <w:rsid w:val="00D06468"/>
    <w:rsid w:val="00D1017D"/>
    <w:rsid w:val="00D11282"/>
    <w:rsid w:val="00D11D55"/>
    <w:rsid w:val="00D14569"/>
    <w:rsid w:val="00D15AFB"/>
    <w:rsid w:val="00D15B0F"/>
    <w:rsid w:val="00D25096"/>
    <w:rsid w:val="00D2614B"/>
    <w:rsid w:val="00D3035E"/>
    <w:rsid w:val="00D30B4B"/>
    <w:rsid w:val="00D31FD3"/>
    <w:rsid w:val="00D3496C"/>
    <w:rsid w:val="00D35F7B"/>
    <w:rsid w:val="00D3643E"/>
    <w:rsid w:val="00D40841"/>
    <w:rsid w:val="00D411DB"/>
    <w:rsid w:val="00D452EA"/>
    <w:rsid w:val="00D54504"/>
    <w:rsid w:val="00D57ABE"/>
    <w:rsid w:val="00D60D0A"/>
    <w:rsid w:val="00D63034"/>
    <w:rsid w:val="00D664DF"/>
    <w:rsid w:val="00D679E8"/>
    <w:rsid w:val="00D72C48"/>
    <w:rsid w:val="00D7572D"/>
    <w:rsid w:val="00D76EC7"/>
    <w:rsid w:val="00D806F7"/>
    <w:rsid w:val="00D90E8B"/>
    <w:rsid w:val="00D964B6"/>
    <w:rsid w:val="00DA06CF"/>
    <w:rsid w:val="00DA2107"/>
    <w:rsid w:val="00DA482F"/>
    <w:rsid w:val="00DA4F8D"/>
    <w:rsid w:val="00DA567B"/>
    <w:rsid w:val="00DA700A"/>
    <w:rsid w:val="00DB10DE"/>
    <w:rsid w:val="00DC0BCD"/>
    <w:rsid w:val="00DC63EA"/>
    <w:rsid w:val="00DC7755"/>
    <w:rsid w:val="00DD0776"/>
    <w:rsid w:val="00DD2D10"/>
    <w:rsid w:val="00DD493A"/>
    <w:rsid w:val="00DE0BA7"/>
    <w:rsid w:val="00DF1B60"/>
    <w:rsid w:val="00DF64FE"/>
    <w:rsid w:val="00DF70DD"/>
    <w:rsid w:val="00E05CBD"/>
    <w:rsid w:val="00E133C1"/>
    <w:rsid w:val="00E13A22"/>
    <w:rsid w:val="00E16C03"/>
    <w:rsid w:val="00E22023"/>
    <w:rsid w:val="00E24F6C"/>
    <w:rsid w:val="00E25FBD"/>
    <w:rsid w:val="00E27C54"/>
    <w:rsid w:val="00E33DFC"/>
    <w:rsid w:val="00E36DC0"/>
    <w:rsid w:val="00E40C11"/>
    <w:rsid w:val="00E504F9"/>
    <w:rsid w:val="00E5307C"/>
    <w:rsid w:val="00E5314E"/>
    <w:rsid w:val="00E538A2"/>
    <w:rsid w:val="00E65FF2"/>
    <w:rsid w:val="00E67113"/>
    <w:rsid w:val="00E67390"/>
    <w:rsid w:val="00E732A5"/>
    <w:rsid w:val="00E757CD"/>
    <w:rsid w:val="00E76293"/>
    <w:rsid w:val="00E773EF"/>
    <w:rsid w:val="00E841D0"/>
    <w:rsid w:val="00E84CB6"/>
    <w:rsid w:val="00E8759A"/>
    <w:rsid w:val="00E915A7"/>
    <w:rsid w:val="00E9363B"/>
    <w:rsid w:val="00E966EE"/>
    <w:rsid w:val="00EA0D8E"/>
    <w:rsid w:val="00EA4ECB"/>
    <w:rsid w:val="00EA78F0"/>
    <w:rsid w:val="00EB0365"/>
    <w:rsid w:val="00EB1D83"/>
    <w:rsid w:val="00EB210F"/>
    <w:rsid w:val="00EB213D"/>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701"/>
    <w:rsid w:val="00F34D29"/>
    <w:rsid w:val="00F35C2C"/>
    <w:rsid w:val="00F36C13"/>
    <w:rsid w:val="00F43944"/>
    <w:rsid w:val="00F44F0C"/>
    <w:rsid w:val="00F45974"/>
    <w:rsid w:val="00F45EFD"/>
    <w:rsid w:val="00F51B8A"/>
    <w:rsid w:val="00F52438"/>
    <w:rsid w:val="00F53A4B"/>
    <w:rsid w:val="00F64D16"/>
    <w:rsid w:val="00F65B50"/>
    <w:rsid w:val="00F66D00"/>
    <w:rsid w:val="00F67B3D"/>
    <w:rsid w:val="00F733D2"/>
    <w:rsid w:val="00F87CF1"/>
    <w:rsid w:val="00F906DF"/>
    <w:rsid w:val="00F926DD"/>
    <w:rsid w:val="00F934DE"/>
    <w:rsid w:val="00F941F7"/>
    <w:rsid w:val="00F95832"/>
    <w:rsid w:val="00F9693E"/>
    <w:rsid w:val="00F973AF"/>
    <w:rsid w:val="00F9745A"/>
    <w:rsid w:val="00FA5CE9"/>
    <w:rsid w:val="00FA6695"/>
    <w:rsid w:val="00FA794C"/>
    <w:rsid w:val="00FB1A6C"/>
    <w:rsid w:val="00FB1C77"/>
    <w:rsid w:val="00FB3F6A"/>
    <w:rsid w:val="00FD2905"/>
    <w:rsid w:val="00FE1CEA"/>
    <w:rsid w:val="00FE3C8E"/>
    <w:rsid w:val="00FE3E86"/>
    <w:rsid w:val="00FE4490"/>
    <w:rsid w:val="00FE51F2"/>
    <w:rsid w:val="00FE52AD"/>
    <w:rsid w:val="00FE5547"/>
    <w:rsid w:val="00FF15E9"/>
    <w:rsid w:val="00FF6973"/>
    <w:rsid w:val="01EC65FB"/>
    <w:rsid w:val="1B7772E4"/>
    <w:rsid w:val="2A0F0CCD"/>
    <w:rsid w:val="2DAF44B7"/>
    <w:rsid w:val="2DF56CD9"/>
    <w:rsid w:val="3F6778EF"/>
    <w:rsid w:val="46A87316"/>
    <w:rsid w:val="4746708A"/>
    <w:rsid w:val="4B3F260D"/>
    <w:rsid w:val="51DD2CBB"/>
    <w:rsid w:val="541F3E53"/>
    <w:rsid w:val="59CF39D5"/>
    <w:rsid w:val="5E927177"/>
    <w:rsid w:val="63FA7DBC"/>
    <w:rsid w:val="6ACC0B2B"/>
    <w:rsid w:val="78A05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字符"/>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字符"/>
    <w:link w:val="12"/>
    <w:qFormat/>
    <w:uiPriority w:val="0"/>
    <w:rPr>
      <w:rFonts w:ascii="Cambria" w:hAnsi="Cambria" w:eastAsia="宋体" w:cs="Times New Roman"/>
      <w:b/>
      <w:kern w:val="28"/>
      <w:sz w:val="24"/>
      <w:szCs w:val="32"/>
    </w:rPr>
  </w:style>
  <w:style w:type="character" w:customStyle="1" w:styleId="26">
    <w:name w:val="标题 1 字符"/>
    <w:link w:val="2"/>
    <w:qFormat/>
    <w:uiPriority w:val="9"/>
    <w:rPr>
      <w:b/>
      <w:bCs/>
      <w:kern w:val="44"/>
      <w:sz w:val="44"/>
      <w:szCs w:val="44"/>
    </w:rPr>
  </w:style>
  <w:style w:type="character" w:customStyle="1" w:styleId="27">
    <w:name w:val="标题 2 字符"/>
    <w:link w:val="3"/>
    <w:qFormat/>
    <w:uiPriority w:val="9"/>
    <w:rPr>
      <w:rFonts w:ascii="Cambria" w:hAnsi="Cambria" w:eastAsia="宋体" w:cs="Times New Roman"/>
      <w:b/>
      <w:bCs/>
      <w:sz w:val="32"/>
      <w:szCs w:val="32"/>
    </w:rPr>
  </w:style>
  <w:style w:type="character" w:customStyle="1" w:styleId="28">
    <w:name w:val="标题 字符"/>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字符"/>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字符"/>
    <w:link w:val="13"/>
    <w:qFormat/>
    <w:uiPriority w:val="0"/>
    <w:rPr>
      <w:kern w:val="2"/>
      <w:sz w:val="18"/>
      <w:szCs w:val="18"/>
    </w:rPr>
  </w:style>
  <w:style w:type="character" w:customStyle="1" w:styleId="48">
    <w:name w:val="日期 字符"/>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MsoNormal"/>
    <w:basedOn w:val="1"/>
    <w:qFormat/>
    <w:uiPriority w:val="0"/>
    <w:pPr>
      <w:widowControl/>
      <w:jc w:val="left"/>
    </w:pPr>
    <w:rPr>
      <w:kern w:val="0"/>
      <w:sz w:val="24"/>
      <w:szCs w:val="24"/>
    </w:rPr>
  </w:style>
  <w:style w:type="paragraph" w:customStyle="1" w:styleId="52">
    <w:name w:val="p"/>
    <w:basedOn w:val="1"/>
    <w:qFormat/>
    <w:uiPriority w:val="0"/>
    <w:pPr>
      <w:widowControl/>
      <w:jc w:val="left"/>
    </w:pPr>
    <w:rPr>
      <w:kern w:val="0"/>
      <w:sz w:val="24"/>
      <w:szCs w:val="24"/>
    </w:rPr>
  </w:style>
  <w:style w:type="character" w:customStyle="1" w:styleId="53">
    <w:name w:val="font11"/>
    <w:basedOn w:val="19"/>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A3438-05E5-4974-986F-B8135B59055B}">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5</Pages>
  <Words>393</Words>
  <Characters>2242</Characters>
  <Lines>18</Lines>
  <Paragraphs>5</Paragraphs>
  <TotalTime>0</TotalTime>
  <ScaleCrop>false</ScaleCrop>
  <LinksUpToDate>false</LinksUpToDate>
  <CharactersWithSpaces>2630</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2020-01-07T12:08:00Z</dcterms:created>
  <dc:creator>yss</dc:creator>
  <cp:lastModifiedBy>Administrator</cp:lastModifiedBy>
  <cp:lastPrinted>2411-12-31T15:59:00Z</cp:lastPrinted>
  <dcterms:modified xsi:type="dcterms:W3CDTF">2025-08-06T06:06:42Z</dcterms:modified>
  <dc:title>gongGaoMingCheng</dc:title>
  <cp:revision>192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5051352593A9498BAB35C86981E42DFE</vt:lpwstr>
  </property>
</Properties>
</file>