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2025-01-21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220,730,000.00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2025-01-21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223,585,885.64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7,061,671.85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124,934,811.18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54,214,744.14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19,116,555.78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6,633,786.19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11,624,316.50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1.01293836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1.01257124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1.01293836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1.01257124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225,676,029.82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172,499,829.78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53,176,200.04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178,282.38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225,854,312.20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24吴江城投PPN003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21,506,182.27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9.62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24乳山01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21,115,232.60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20,640,871.23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24宿州城投PPN002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20,463,963.01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25临城02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20,210,264.93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25湖南银行永续债01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20,145,197.26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海租15A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20,052,201.64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24渝枢05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19,363,924.70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23东营财金ABN001优先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16,869,672.43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24新田投资PPN001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11,241,712.79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5.03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220,730,000.00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123,330,000.00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53,530,000.00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18,871,000.00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11,475,000.00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220,730,000.00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220,730,000.00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123,330,000.00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53,530,000.00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18,871,000.00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11,475,000.00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1602023929200340946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4AB13D35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2025-08-06T06:21:22Z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