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2025-03-11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371,812,000.00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2025-03-11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375,002,212.44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50,421,918.07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100,859,178.63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70,556,787.74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50,426,520.72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30,255,912.35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50,438,794.55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22,043,100.38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1.00874521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1.00874521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338,021,046.13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329,732,080.54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8,288,965.59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579,165.22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378,709,315.37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35,565,334.79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30,810,856.85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23嘉兴湾北PPN001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30,775,725.62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30,769,928.63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30,499,875.62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25东营国资MTN001(科创票据)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30,411,747.53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26,704,930.52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21,057,420.82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23中化岩土MTN002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20,762,527.95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1602023929200349188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C753F0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2025-08-06T06:22:28Z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