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天天盈9号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天天盈9号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C1088121000150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2021-11-12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5,137,227,530.13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102.33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5,137,227,530.13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1.08375228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0.82</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报告期内，现金管理类产品投资风格稳健，产品严控信用风险，主要投向高等级信用债获取票息收益；同时提高利率债和同业存单等高流动性资产的配置比例，确保产品流动性安全。适当择机运用杠杆策略，灵活调整组合结构，增厚产品收益。</w:t>
      </w:r>
      <w:bookmarkStart w:id="2" w:name="_GoBack"/>
      <w:bookmarkEnd w:id="2"/>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5,206,701,895.77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4,825,861,797.06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91.80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380,840,098.71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7.24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47,975,521.12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2,305,302.47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1,629.32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5,256,984,348.68</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25日照港SCP001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100,402,209.35</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1.95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24中信银行CD221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99,866,480.27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99,074,291.50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20济城G1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93,346,206.30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80,308,291.45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20海尔金控MTN001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72,727,572.28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23津城建MTN013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72,023,505.12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22余杭创新PPN003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71,719,106.74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22豫铁01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71,674,452.33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24豫水利SCP002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71,015,205.37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5,774,770,478.63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4,959,008,305.16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815,762,173.47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5,389,522,725.63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-6,027,065,674.13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5,137,227,530.13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4,311,958,586.16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825,268,943.97</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齐鲁银行股份有限公司天天盈9号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531902382310614</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天天盈9号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80" w:firstLineChars="200"/>
        <w:rPr>
          <w:rFonts w:hint="eastAsia" w:ascii="宋体" w:hAnsi="宋体" w:cs="宋体"/>
          <w:color w:val="000000"/>
          <w:sz w:val="24"/>
          <w:szCs w:val="24"/>
          <w:highlight w:val="none"/>
          <w:lang w:val="en-US" w:eastAsia="zh-CN"/>
        </w:rPr>
      </w:pPr>
    </w:p>
    <w:p>
      <w:pPr>
        <w:spacing w:line="360" w:lineRule="auto"/>
        <w:ind w:firstLine="660" w:firstLineChars="200"/>
        <w:jc w:val="center"/>
        <w:rPr>
          <w:rFonts w:hint="eastAsia" w:ascii="宋体" w:hAnsi="宋体"/>
          <w:bCs/>
          <w:sz w:val="33"/>
          <w:szCs w:val="33"/>
          <w:lang w:eastAsia="zh-CN"/>
        </w:rPr>
      </w:pPr>
      <w:r>
        <w:rPr>
          <w:rFonts w:hint="eastAsia" w:ascii="宋体" w:hAnsi="宋体"/>
          <w:bCs/>
          <w:sz w:val="33"/>
          <w:szCs w:val="33"/>
          <w:lang w:val="en-US" w:eastAsia="zh-CN"/>
        </w:rPr>
        <w:t>6</w:t>
      </w:r>
      <w:r>
        <w:rPr>
          <w:rFonts w:hint="eastAsia" w:ascii="宋体" w:hAnsi="宋体"/>
          <w:bCs/>
          <w:sz w:val="33"/>
          <w:szCs w:val="33"/>
        </w:rPr>
        <w:t xml:space="preserve">  </w:t>
      </w:r>
      <w:r>
        <w:rPr>
          <w:rFonts w:hint="eastAsia" w:ascii="宋体" w:hAnsi="宋体"/>
          <w:bCs/>
          <w:sz w:val="33"/>
          <w:szCs w:val="33"/>
          <w:lang w:eastAsia="zh-CN"/>
        </w:rPr>
        <w:t>期末前十大份额投资人情况</w:t>
      </w:r>
    </w:p>
    <w:tbl>
      <w:tblPr>
        <w:tblStyle w:val="17"/>
        <w:tblW w:w="84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7"/>
        <w:gridCol w:w="2590"/>
        <w:gridCol w:w="2430"/>
        <w:gridCol w:w="2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5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投资者类别</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持有份额（份）</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占总份额的比例（%）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个人</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94,860,979.46</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91,951,626.27</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53,162,465.33</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48,283,250.86</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32,130,932.15</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26,412,817.93</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25,129,709.92</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21,388,705.98</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个人</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20,258,602.65</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59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机构</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20,021,331.16</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0.39</w:t>
            </w:r>
          </w:p>
        </w:tc>
      </w:tr>
    </w:tbl>
    <w:p>
      <w:pPr>
        <w:spacing w:line="360" w:lineRule="auto"/>
        <w:ind w:firstLine="660" w:firstLineChars="200"/>
        <w:rPr>
          <w:rFonts w:hint="eastAsia" w:ascii="宋体" w:hAnsi="宋体"/>
          <w:bCs/>
          <w:sz w:val="33"/>
          <w:szCs w:val="33"/>
          <w:lang w:val="en-US" w:eastAsia="zh-CN"/>
        </w:rPr>
      </w:pP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B251880"/>
    <w:rsid w:val="2DAF44B7"/>
    <w:rsid w:val="2DF56CD9"/>
    <w:rsid w:val="3052654D"/>
    <w:rsid w:val="3F6778EF"/>
    <w:rsid w:val="46A87316"/>
    <w:rsid w:val="4746708A"/>
    <w:rsid w:val="4B3F260D"/>
    <w:rsid w:val="51DD2CBB"/>
    <w:rsid w:val="52696E51"/>
    <w:rsid w:val="541F3E53"/>
    <w:rsid w:val="59CF39D5"/>
    <w:rsid w:val="5E927177"/>
    <w:rsid w:val="63FA7DBC"/>
    <w:rsid w:val="64A5552C"/>
    <w:rsid w:val="6ACC0B2B"/>
    <w:rsid w:val="78A05E31"/>
    <w:rsid w:val="79A42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2025-08-06T06:10:49Z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