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产品托管人：中国邮政储蓄银行股份有限公司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2022-12-13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951,024,155.17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78,875.00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1,038,898,090.53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409,244,172.94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629,653,917.59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1.09239926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1.09072975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1.09348711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1.09239926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1.09072975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1.09348711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935,527,131.89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110,110,458.35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935,527,131.89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109,316,903.43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793,554.92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778,382.79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1,431,634.66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790,982.28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102,450,951.49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1,233.66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366.92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1,039,410,951.70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111,680,190.33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10.74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52,904,790.58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5.09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22江北建投MTN007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51,614,656.85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21宁城03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50,576,955.48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49,546,160.91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21厦门国际银行永续债01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31,672,049.59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31,667,802.74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23重庆旅投PPN001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31,238,653.15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23济南高新MTN004A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31,048,041.37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21宿州城投MTN001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30,941,094.66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21蓉旅01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30,759,336.99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2.96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804,576,472.93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359,865,259.46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444,711,213.47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951,024,155.17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-804,576,472.93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951,024,155.17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375,202,170.98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575,821,984.19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937007010129820007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邮储银行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51D4B7A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2025-08-06T06:09:21Z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