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2025-03-25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459,990,000.00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108.74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2025-03-25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463,407,577.97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302,204,996.06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50,375,890.78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50,373,205.92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30,223,923.45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30,229,561.76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1.00742967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1.00738356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1.00751781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1.00742967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1.00738356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1.00751781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1.00746411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462,880,119.54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462,880,119.54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933,523.91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503,922,747.47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12.90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43,795,694.79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9.45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42,150,693.15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24常熟交通PPN003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40,916,587.95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40,666,500.82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25泰山05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40,356,936.99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25淄金03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40,143,637.81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31,243,211.92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23晋交投MTN005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30,784,712.47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24农业银行CD180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29,979,600.41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1602023929200349215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9F91389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2025-08-06T06:23:00Z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