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齐鲁银行安稳泉家2023年11号B款理财产品到期兑付公告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11号B款理财产品于2025年05月16日到期兑付。本理财计划按照产品合同规定条款进行投资运作，理财期限730天，实现年化收益率4.20%，每万元费后净收益840.00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2025年05月16日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