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B款理财产品于2025年06月12日到期兑付。本理财计划按照产品合同规定条款进行投资运作，理财期限303天，实现年化收益率3.05%，每万元费后净收益253.19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