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齐鲁银行鸿运财富2024年14号A款理财产品到期兑付公告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14号A款理财产品于2025年06月04日到期兑付。本理财计划按照产品合同规定条款进行投资运作，理财期限400天，实现年化收益率3.15%，每万元费后净收益345.21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